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5537C" w14:textId="4B27DE03" w:rsidR="00212C77" w:rsidRPr="00C85C05" w:rsidRDefault="00212C77" w:rsidP="00212C77">
      <w:pPr>
        <w:rPr>
          <w:rFonts w:cstheme="minorHAnsi"/>
        </w:rPr>
      </w:pPr>
      <w:r w:rsidRPr="00C85C05">
        <w:rPr>
          <w:rFonts w:cstheme="minorHAnsi"/>
          <w:b/>
        </w:rPr>
        <w:t xml:space="preserve">Tecpetrol S.A. anuncia Resultados del </w:t>
      </w:r>
      <w:r w:rsidR="00E426FB">
        <w:rPr>
          <w:rFonts w:cstheme="minorHAnsi"/>
          <w:b/>
        </w:rPr>
        <w:t xml:space="preserve">período de tres meses </w:t>
      </w:r>
      <w:r w:rsidR="00806C74">
        <w:rPr>
          <w:rFonts w:cstheme="minorHAnsi"/>
          <w:b/>
        </w:rPr>
        <w:t>finalizado el 31</w:t>
      </w:r>
      <w:r w:rsidRPr="00C85C05">
        <w:rPr>
          <w:rFonts w:cstheme="minorHAnsi"/>
          <w:b/>
        </w:rPr>
        <w:t xml:space="preserve"> de </w:t>
      </w:r>
      <w:r w:rsidR="00E426FB">
        <w:rPr>
          <w:rFonts w:cstheme="minorHAnsi"/>
          <w:b/>
        </w:rPr>
        <w:t>marzo</w:t>
      </w:r>
      <w:r w:rsidR="00806C74">
        <w:rPr>
          <w:rFonts w:cstheme="minorHAnsi"/>
          <w:b/>
        </w:rPr>
        <w:t xml:space="preserve"> </w:t>
      </w:r>
      <w:r w:rsidR="00E426FB">
        <w:rPr>
          <w:rFonts w:cstheme="minorHAnsi"/>
          <w:b/>
        </w:rPr>
        <w:t>de 2023</w:t>
      </w:r>
    </w:p>
    <w:p w14:paraId="7206A441" w14:textId="76C7CDA3" w:rsidR="00957DBB" w:rsidRPr="00C85C05" w:rsidRDefault="00212C77" w:rsidP="00B242BA">
      <w:pPr>
        <w:rPr>
          <w:rFonts w:cstheme="minorHAnsi"/>
        </w:rPr>
      </w:pPr>
      <w:r w:rsidRPr="00C85C05">
        <w:rPr>
          <w:rFonts w:cstheme="minorHAnsi"/>
          <w:u w:val="single"/>
        </w:rPr>
        <w:t>Resumen y análisis de los resultados del períod</w:t>
      </w:r>
      <w:r w:rsidR="001C0E11" w:rsidRPr="00C85C05">
        <w:rPr>
          <w:rFonts w:cstheme="minorHAnsi"/>
          <w:u w:val="single"/>
        </w:rPr>
        <w:t xml:space="preserve">o de tres meses finalizado el </w:t>
      </w:r>
      <w:r w:rsidR="00806C74">
        <w:rPr>
          <w:rFonts w:cstheme="minorHAnsi"/>
          <w:u w:val="single"/>
        </w:rPr>
        <w:t>31</w:t>
      </w:r>
      <w:r w:rsidRPr="00C85C05">
        <w:rPr>
          <w:rFonts w:cstheme="minorHAnsi"/>
          <w:u w:val="single"/>
        </w:rPr>
        <w:t xml:space="preserve"> de </w:t>
      </w:r>
      <w:r w:rsidR="00387B0E">
        <w:rPr>
          <w:rFonts w:cstheme="minorHAnsi"/>
          <w:u w:val="single"/>
        </w:rPr>
        <w:t>marzo de 2023</w:t>
      </w:r>
    </w:p>
    <w:tbl>
      <w:tblPr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712"/>
        <w:gridCol w:w="1529"/>
        <w:gridCol w:w="1714"/>
      </w:tblGrid>
      <w:tr w:rsidR="000A4EDF" w:rsidRPr="000A4EDF" w14:paraId="7B8CE192" w14:textId="606DA293" w:rsidTr="00F33817">
        <w:trPr>
          <w:trHeight w:val="22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3725" w14:textId="77777777" w:rsidR="000A4EDF" w:rsidRPr="00C85C05" w:rsidRDefault="000A4EDF" w:rsidP="000A4EDF">
            <w:pPr>
              <w:jc w:val="center"/>
              <w:rPr>
                <w:rFonts w:eastAsia="Times New Roman" w:cstheme="minorHAnsi"/>
                <w:lang w:eastAsia="es-AR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AB5C4" w14:textId="367EC3E8" w:rsidR="000A4EDF" w:rsidRPr="00C85C05" w:rsidRDefault="000A4EDF" w:rsidP="000A4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3 meses 2023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022B" w14:textId="51D477D5" w:rsidR="000A4EDF" w:rsidRPr="00D00B1F" w:rsidRDefault="000A4EDF" w:rsidP="000A4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D00B1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3 meses 2022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02D6AA" w14:textId="26528B13" w:rsidR="000A4EDF" w:rsidRDefault="000A4EDF" w:rsidP="000A4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3 meses 2022 (i)</w:t>
            </w:r>
          </w:p>
        </w:tc>
      </w:tr>
      <w:tr w:rsidR="00792646" w:rsidRPr="00C85C05" w14:paraId="4667ADD2" w14:textId="2CF21BDD" w:rsidTr="00F33817">
        <w:trPr>
          <w:trHeight w:val="316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6AA14" w14:textId="77777777" w:rsidR="00792646" w:rsidRPr="00C85C05" w:rsidRDefault="00792646" w:rsidP="0079264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Producción (Mm</w:t>
            </w:r>
            <w:r w:rsidRPr="00C85C05">
              <w:rPr>
                <w:rFonts w:eastAsia="Times New Roman" w:cstheme="minorHAnsi"/>
                <w:bCs/>
                <w:color w:val="000000"/>
                <w:vertAlign w:val="superscript"/>
                <w:lang w:eastAsia="es-AR"/>
              </w:rPr>
              <w:t>3</w:t>
            </w: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 xml:space="preserve"> equivalentes) (*)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7ADD7" w14:textId="601B05E0" w:rsidR="00792646" w:rsidRPr="00C85C05" w:rsidRDefault="00792646" w:rsidP="00792646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4CC27" w14:textId="2AE170C8" w:rsidR="00792646" w:rsidRPr="00660762" w:rsidRDefault="00792646" w:rsidP="00792646">
            <w:pPr>
              <w:spacing w:after="0"/>
              <w:jc w:val="right"/>
              <w:rPr>
                <w:rFonts w:cstheme="minorHAnsi"/>
              </w:rPr>
            </w:pPr>
            <w:r w:rsidRPr="00660762">
              <w:rPr>
                <w:rFonts w:ascii="Calibri" w:hAnsi="Calibri" w:cs="Calibri"/>
                <w:sz w:val="20"/>
                <w:szCs w:val="20"/>
              </w:rPr>
              <w:t>1.473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23BA89" w14:textId="7760B380" w:rsidR="00792646" w:rsidRPr="00660762" w:rsidRDefault="00792646" w:rsidP="0079264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0762">
              <w:rPr>
                <w:rFonts w:ascii="Calibri" w:hAnsi="Calibri" w:cs="Calibri"/>
                <w:sz w:val="20"/>
                <w:szCs w:val="20"/>
              </w:rPr>
              <w:t>1.473</w:t>
            </w:r>
          </w:p>
        </w:tc>
      </w:tr>
      <w:tr w:rsidR="00792646" w:rsidRPr="00C85C05" w14:paraId="467061CF" w14:textId="78B7FE05" w:rsidTr="00F33817">
        <w:trPr>
          <w:trHeight w:val="316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841EFE" w14:textId="77777777" w:rsidR="00792646" w:rsidRPr="00C85C05" w:rsidRDefault="00792646" w:rsidP="00792646">
            <w:pPr>
              <w:spacing w:after="0" w:line="240" w:lineRule="auto"/>
              <w:ind w:left="708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Gas (MMm</w:t>
            </w:r>
            <w:r w:rsidRPr="00C85C05">
              <w:rPr>
                <w:rFonts w:eastAsia="Times New Roman" w:cstheme="minorHAnsi"/>
                <w:bCs/>
                <w:color w:val="000000"/>
                <w:vertAlign w:val="superscript"/>
                <w:lang w:eastAsia="es-AR"/>
              </w:rPr>
              <w:t>3</w:t>
            </w: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5B79C" w14:textId="057350D9" w:rsidR="00792646" w:rsidRPr="00C85C05" w:rsidRDefault="00792646" w:rsidP="00792646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81C47E" w14:textId="7C54F8CB" w:rsidR="00792646" w:rsidRPr="00660762" w:rsidRDefault="00792646" w:rsidP="00792646">
            <w:pPr>
              <w:spacing w:after="0"/>
              <w:jc w:val="right"/>
              <w:rPr>
                <w:rFonts w:cstheme="minorHAnsi"/>
              </w:rPr>
            </w:pPr>
            <w:r w:rsidRPr="00660762">
              <w:rPr>
                <w:rFonts w:ascii="Calibri" w:hAnsi="Calibri" w:cs="Calibri"/>
                <w:sz w:val="20"/>
                <w:szCs w:val="20"/>
              </w:rPr>
              <w:t>1.310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9075E" w14:textId="53D33D0B" w:rsidR="00792646" w:rsidRPr="00660762" w:rsidRDefault="00792646" w:rsidP="0079264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0762">
              <w:rPr>
                <w:rFonts w:ascii="Calibri" w:hAnsi="Calibri" w:cs="Calibri"/>
                <w:sz w:val="20"/>
                <w:szCs w:val="20"/>
              </w:rPr>
              <w:t>1.310</w:t>
            </w:r>
          </w:p>
        </w:tc>
      </w:tr>
      <w:tr w:rsidR="00792646" w:rsidRPr="00C85C05" w14:paraId="57727134" w14:textId="1ABC7D3D" w:rsidTr="00F33817">
        <w:trPr>
          <w:trHeight w:val="316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65118C" w14:textId="77777777" w:rsidR="00792646" w:rsidRPr="00C85C05" w:rsidRDefault="00792646" w:rsidP="00792646">
            <w:pPr>
              <w:spacing w:after="0" w:line="240" w:lineRule="auto"/>
              <w:ind w:left="708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Oil (Mm</w:t>
            </w:r>
            <w:r w:rsidRPr="00C85C05">
              <w:rPr>
                <w:rFonts w:eastAsia="Times New Roman" w:cstheme="minorHAnsi"/>
                <w:bCs/>
                <w:color w:val="000000"/>
                <w:vertAlign w:val="superscript"/>
                <w:lang w:eastAsia="es-AR"/>
              </w:rPr>
              <w:t>3</w:t>
            </w: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5F0F6A" w14:textId="4CEB13CA" w:rsidR="00792646" w:rsidRPr="00C85C05" w:rsidRDefault="00792646" w:rsidP="00792646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DF0A08" w14:textId="79A235B7" w:rsidR="00792646" w:rsidRPr="00660762" w:rsidRDefault="00792646" w:rsidP="00792646">
            <w:pPr>
              <w:spacing w:after="0"/>
              <w:jc w:val="right"/>
              <w:rPr>
                <w:rFonts w:cstheme="minorHAnsi"/>
              </w:rPr>
            </w:pPr>
            <w:r w:rsidRPr="00660762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1D49B4" w14:textId="69D9BF76" w:rsidR="00792646" w:rsidRPr="00660762" w:rsidRDefault="00792646" w:rsidP="0079264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0762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</w:tr>
      <w:tr w:rsidR="00AA2698" w:rsidRPr="00C85C05" w14:paraId="2880DA51" w14:textId="1AA14F3E" w:rsidTr="00F33817">
        <w:trPr>
          <w:trHeight w:val="316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DAB6F" w14:textId="179BBC6C" w:rsidR="00AA2698" w:rsidRPr="00C85C05" w:rsidRDefault="00AA2698" w:rsidP="00AA26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Ventas (ARS millones)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56AF77" w14:textId="005F99F5" w:rsidR="00AA2698" w:rsidRPr="00C85C05" w:rsidRDefault="00AA2698" w:rsidP="00AA2698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56.503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668E1" w14:textId="462F9AC0" w:rsidR="00AA2698" w:rsidRPr="00D00B1F" w:rsidRDefault="00AA2698" w:rsidP="00AA2698">
            <w:pPr>
              <w:spacing w:after="0"/>
              <w:jc w:val="right"/>
              <w:rPr>
                <w:rFonts w:cstheme="minorHAnsi"/>
              </w:rPr>
            </w:pPr>
            <w:r w:rsidRPr="00D00B1F">
              <w:rPr>
                <w:rFonts w:ascii="Calibri" w:hAnsi="Calibri" w:cs="Calibri"/>
                <w:sz w:val="20"/>
                <w:szCs w:val="20"/>
              </w:rPr>
              <w:t>28.222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69B0A0" w14:textId="6B1D142E" w:rsidR="00AA2698" w:rsidRDefault="00AA2698" w:rsidP="00AA2698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Calibri"/>
                <w:sz w:val="20"/>
                <w:szCs w:val="20"/>
              </w:rPr>
              <w:t>50.947</w:t>
            </w:r>
            <w:bookmarkEnd w:id="0"/>
          </w:p>
        </w:tc>
      </w:tr>
      <w:tr w:rsidR="00AA2698" w:rsidRPr="00C85C05" w14:paraId="2BD5E3B9" w14:textId="26A9BF52" w:rsidTr="00F33817">
        <w:trPr>
          <w:trHeight w:val="316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EB5CB6" w14:textId="468316A0" w:rsidR="00AA2698" w:rsidRPr="00C85C05" w:rsidRDefault="00AA2698" w:rsidP="00AA26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Costos Operativos (ARS millones)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0B6E4" w14:textId="3287FC44" w:rsidR="00AA2698" w:rsidRPr="00C85C05" w:rsidRDefault="00AA2698" w:rsidP="00AA2698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(42.977)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51D92" w14:textId="2B509A0F" w:rsidR="00AA2698" w:rsidRPr="00D00B1F" w:rsidRDefault="00AA2698" w:rsidP="00AA2698">
            <w:pPr>
              <w:spacing w:after="0"/>
              <w:jc w:val="right"/>
              <w:rPr>
                <w:rFonts w:cstheme="minorHAnsi"/>
              </w:rPr>
            </w:pPr>
            <w:r w:rsidRPr="00D00B1F">
              <w:rPr>
                <w:rFonts w:ascii="Calibri" w:hAnsi="Calibri" w:cs="Calibri"/>
                <w:sz w:val="20"/>
                <w:szCs w:val="20"/>
              </w:rPr>
              <w:t>(20.453)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1D746B" w14:textId="246C6B6A" w:rsidR="00AA2698" w:rsidRDefault="00AA2698" w:rsidP="00AA2698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(36.923)</w:t>
            </w:r>
          </w:p>
        </w:tc>
      </w:tr>
      <w:tr w:rsidR="00AA2698" w:rsidRPr="00C85C05" w14:paraId="53EB1224" w14:textId="5A081F96" w:rsidTr="00F33817">
        <w:trPr>
          <w:trHeight w:val="316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428BF" w14:textId="77777777" w:rsidR="00AA2698" w:rsidRPr="00C85C05" w:rsidRDefault="00AA2698" w:rsidP="00AA26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Resultado Operativo (ARS millones)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C17A1" w14:textId="71EA39E4" w:rsidR="00AA2698" w:rsidRPr="00C85C05" w:rsidRDefault="00AA2698" w:rsidP="00AA2698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3593A" w14:textId="13511515" w:rsidR="00AA2698" w:rsidRPr="00D00B1F" w:rsidRDefault="00AA2698" w:rsidP="00AA2698">
            <w:pPr>
              <w:spacing w:after="0"/>
              <w:jc w:val="right"/>
              <w:rPr>
                <w:rFonts w:cstheme="minorHAnsi"/>
              </w:rPr>
            </w:pPr>
            <w:r w:rsidRPr="00D00B1F">
              <w:rPr>
                <w:rFonts w:ascii="Calibri" w:hAnsi="Calibri" w:cs="Calibri"/>
                <w:sz w:val="20"/>
                <w:szCs w:val="20"/>
              </w:rPr>
              <w:t>4.515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B09ADB" w14:textId="69C686F8" w:rsidR="00AA2698" w:rsidRDefault="00AA2698" w:rsidP="00AA2698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8.150</w:t>
            </w:r>
          </w:p>
        </w:tc>
      </w:tr>
      <w:tr w:rsidR="00AA2698" w:rsidRPr="00C85C05" w14:paraId="2080A357" w14:textId="0631837A" w:rsidTr="00F33817">
        <w:trPr>
          <w:trHeight w:val="316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D0C8" w14:textId="77777777" w:rsidR="00AA2698" w:rsidRPr="00C85C05" w:rsidRDefault="00AA2698" w:rsidP="00AA26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EBITDA (ARS millones)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D8378" w14:textId="35ABAD0F" w:rsidR="00AA2698" w:rsidRPr="00C85C05" w:rsidRDefault="00AA2698" w:rsidP="00AA2698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28.081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93AFA" w14:textId="7B0DFCAB" w:rsidR="00AA2698" w:rsidRPr="00D00B1F" w:rsidRDefault="00AA2698" w:rsidP="00AA2698">
            <w:pPr>
              <w:spacing w:after="0"/>
              <w:jc w:val="right"/>
              <w:rPr>
                <w:rFonts w:cstheme="minorHAnsi"/>
              </w:rPr>
            </w:pPr>
            <w:r w:rsidRPr="00D00B1F">
              <w:rPr>
                <w:rFonts w:ascii="Calibri" w:hAnsi="Calibri" w:cs="Calibri"/>
                <w:sz w:val="20"/>
                <w:szCs w:val="20"/>
              </w:rPr>
              <w:t>15.283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8D9079" w14:textId="7BF63D69" w:rsidR="00AA2698" w:rsidRDefault="00AA2698" w:rsidP="00AA2698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27.589</w:t>
            </w:r>
          </w:p>
        </w:tc>
      </w:tr>
      <w:tr w:rsidR="00AA2698" w:rsidRPr="00C85C05" w14:paraId="44B1805F" w14:textId="35EC51CB" w:rsidTr="00F33817">
        <w:trPr>
          <w:trHeight w:val="316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70BB0" w14:textId="0311FF50" w:rsidR="00AA2698" w:rsidRPr="00C85C05" w:rsidRDefault="00AA2698" w:rsidP="00AA26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AR"/>
              </w:rPr>
            </w:pPr>
            <w:r w:rsidRPr="00C85C05">
              <w:rPr>
                <w:rFonts w:eastAsia="Times New Roman" w:cstheme="minorHAnsi"/>
                <w:bCs/>
                <w:color w:val="000000"/>
                <w:lang w:eastAsia="es-AR"/>
              </w:rPr>
              <w:t>Resultado Neto (ARS millones)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81290" w14:textId="2174E213" w:rsidR="00AA2698" w:rsidRPr="00C85C05" w:rsidRDefault="00AA2698" w:rsidP="00AA2698">
            <w:pPr>
              <w:spacing w:after="0" w:line="240" w:lineRule="auto"/>
              <w:jc w:val="right"/>
              <w:rPr>
                <w:rFonts w:eastAsia="Times New Roman" w:cstheme="minorHAnsi"/>
                <w:lang w:eastAsia="es-A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CFDEC" w14:textId="2897C186" w:rsidR="00AA2698" w:rsidRPr="00D00B1F" w:rsidRDefault="00AA2698" w:rsidP="00AA2698">
            <w:pPr>
              <w:spacing w:after="0"/>
              <w:jc w:val="right"/>
              <w:rPr>
                <w:rFonts w:cstheme="minorHAnsi"/>
              </w:rPr>
            </w:pPr>
            <w:r w:rsidRPr="00D00B1F">
              <w:rPr>
                <w:rFonts w:ascii="Calibri" w:hAnsi="Calibri" w:cs="Calibri"/>
                <w:sz w:val="20"/>
                <w:szCs w:val="20"/>
              </w:rPr>
              <w:t>2.801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A986F" w14:textId="208C032B" w:rsidR="00AA2698" w:rsidRDefault="00AA2698" w:rsidP="00AA2698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5.057</w:t>
            </w:r>
          </w:p>
        </w:tc>
      </w:tr>
    </w:tbl>
    <w:p w14:paraId="76C78D32" w14:textId="7E0536BB" w:rsidR="00041FF1" w:rsidRDefault="00041FF1" w:rsidP="00B91584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es-AR"/>
        </w:rPr>
      </w:pPr>
      <w:r w:rsidRPr="00B91584">
        <w:rPr>
          <w:rFonts w:eastAsia="Times New Roman" w:cstheme="minorHAnsi"/>
          <w:color w:val="000000"/>
          <w:sz w:val="20"/>
          <w:szCs w:val="20"/>
          <w:lang w:eastAsia="es-AR"/>
        </w:rPr>
        <w:t>(*) Equivalencia volumétrica (1.000 m</w:t>
      </w:r>
      <w:r w:rsidRPr="00B91584">
        <w:rPr>
          <w:rFonts w:eastAsia="Times New Roman" w:cstheme="minorHAnsi"/>
          <w:color w:val="000000"/>
          <w:sz w:val="20"/>
          <w:szCs w:val="20"/>
          <w:vertAlign w:val="superscript"/>
          <w:lang w:eastAsia="es-AR"/>
        </w:rPr>
        <w:t>3</w:t>
      </w:r>
      <w:r w:rsidRPr="00B91584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de gas = 1 m</w:t>
      </w:r>
      <w:r w:rsidRPr="00B91584">
        <w:rPr>
          <w:rFonts w:eastAsia="Times New Roman" w:cstheme="minorHAnsi"/>
          <w:color w:val="000000"/>
          <w:sz w:val="20"/>
          <w:szCs w:val="20"/>
          <w:vertAlign w:val="superscript"/>
          <w:lang w:eastAsia="es-AR"/>
        </w:rPr>
        <w:t>3</w:t>
      </w:r>
      <w:r w:rsidRPr="00B91584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de petróleo)</w:t>
      </w:r>
    </w:p>
    <w:p w14:paraId="29119B4C" w14:textId="51D5301E" w:rsidR="000A4EDF" w:rsidRPr="00F33817" w:rsidRDefault="000A4EDF" w:rsidP="00F33817">
      <w:pPr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es-AR"/>
        </w:rPr>
      </w:pPr>
      <w:r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(i) </w:t>
      </w:r>
      <w:r w:rsidR="00AA2698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Corresponde a </w:t>
      </w:r>
      <w:r w:rsidR="00F33817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los </w:t>
      </w:r>
      <w:r w:rsidR="00AA2698" w:rsidRPr="00F33817">
        <w:rPr>
          <w:rFonts w:eastAsia="Times New Roman" w:cstheme="minorHAnsi"/>
          <w:color w:val="000000"/>
          <w:sz w:val="20"/>
          <w:szCs w:val="20"/>
          <w:lang w:eastAsia="es-AR"/>
        </w:rPr>
        <w:t>dólares estadounidenses</w:t>
      </w:r>
      <w:r w:rsidR="00D00B1F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</w:t>
      </w:r>
      <w:r w:rsidR="002B0608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(USD) </w:t>
      </w:r>
      <w:r w:rsidR="00F33817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del período </w:t>
      </w:r>
      <w:r w:rsidR="008028FB" w:rsidRPr="00F33817">
        <w:rPr>
          <w:rFonts w:eastAsia="Times New Roman" w:cstheme="minorHAnsi"/>
          <w:color w:val="000000"/>
          <w:sz w:val="20"/>
          <w:szCs w:val="20"/>
          <w:lang w:eastAsia="es-AR"/>
        </w:rPr>
        <w:t>convertidos</w:t>
      </w:r>
      <w:r w:rsidR="00F56594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a moneda de</w:t>
      </w:r>
      <w:r w:rsidR="00F33817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</w:t>
      </w:r>
      <w:r w:rsidR="00F56594" w:rsidRPr="00F33817">
        <w:rPr>
          <w:rFonts w:eastAsia="Times New Roman" w:cstheme="minorHAnsi"/>
          <w:color w:val="000000"/>
          <w:sz w:val="20"/>
          <w:szCs w:val="20"/>
          <w:lang w:eastAsia="es-AR"/>
        </w:rPr>
        <w:t>presentación (ARS)</w:t>
      </w:r>
      <w:r w:rsidR="00D41902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</w:t>
      </w:r>
      <w:r w:rsidR="00F33817" w:rsidRPr="00F33817">
        <w:rPr>
          <w:rFonts w:eastAsia="Times New Roman" w:cstheme="minorHAnsi"/>
          <w:color w:val="000000"/>
          <w:sz w:val="20"/>
          <w:szCs w:val="20"/>
          <w:lang w:eastAsia="es-AR"/>
        </w:rPr>
        <w:t>considerando e</w:t>
      </w:r>
      <w:r w:rsidR="00D41902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l </w:t>
      </w:r>
      <w:r w:rsidR="008028FB" w:rsidRPr="00F33817">
        <w:rPr>
          <w:rFonts w:eastAsia="Times New Roman" w:cstheme="minorHAnsi"/>
          <w:color w:val="000000"/>
          <w:sz w:val="20"/>
          <w:szCs w:val="20"/>
          <w:lang w:eastAsia="es-AR"/>
        </w:rPr>
        <w:t>tipo de cambio</w:t>
      </w:r>
      <w:r w:rsidR="00932AB1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</w:t>
      </w:r>
      <w:r w:rsidR="00D41902" w:rsidRPr="00F33817">
        <w:rPr>
          <w:rFonts w:eastAsia="Times New Roman" w:cstheme="minorHAnsi"/>
          <w:color w:val="000000"/>
          <w:sz w:val="20"/>
          <w:szCs w:val="20"/>
          <w:lang w:eastAsia="es-AR"/>
        </w:rPr>
        <w:t>utilizado en el mismo período del 2023</w:t>
      </w:r>
      <w:r w:rsidRPr="00F33817">
        <w:rPr>
          <w:rFonts w:eastAsia="Times New Roman" w:cstheme="minorHAnsi"/>
          <w:color w:val="000000"/>
          <w:sz w:val="20"/>
          <w:szCs w:val="20"/>
          <w:lang w:eastAsia="es-AR"/>
        </w:rPr>
        <w:t>.</w:t>
      </w:r>
      <w:r w:rsidR="00A4524E" w:rsidRPr="00F33817">
        <w:rPr>
          <w:rFonts w:eastAsia="Times New Roman" w:cstheme="minorHAnsi"/>
          <w:color w:val="000000"/>
          <w:sz w:val="20"/>
          <w:szCs w:val="20"/>
          <w:lang w:eastAsia="es-AR"/>
        </w:rPr>
        <w:t xml:space="preserve"> </w:t>
      </w:r>
    </w:p>
    <w:p w14:paraId="29692B02" w14:textId="119FDFB8" w:rsidR="00732D7B" w:rsidRPr="00732D7B" w:rsidRDefault="00732D7B" w:rsidP="00732D7B">
      <w:pPr>
        <w:spacing w:before="120" w:after="120"/>
        <w:ind w:right="142"/>
        <w:jc w:val="both"/>
        <w:rPr>
          <w:rFonts w:cstheme="minorHAnsi"/>
        </w:rPr>
      </w:pPr>
      <w:r w:rsidRPr="00732D7B">
        <w:rPr>
          <w:rFonts w:cstheme="minorHAnsi"/>
        </w:rPr>
        <w:t xml:space="preserve">Los Estados Financieros Intermedios Condensados son preparados en base a las partidas registradas en la moneda </w:t>
      </w:r>
      <w:r w:rsidRPr="002B0608">
        <w:rPr>
          <w:rFonts w:cstheme="minorHAnsi"/>
        </w:rPr>
        <w:t>funcional (</w:t>
      </w:r>
      <w:r w:rsidR="002B0608" w:rsidRPr="002B0608">
        <w:rPr>
          <w:rFonts w:cstheme="minorHAnsi"/>
        </w:rPr>
        <w:t>USD</w:t>
      </w:r>
      <w:r w:rsidRPr="002B0608">
        <w:rPr>
          <w:rFonts w:cstheme="minorHAnsi"/>
        </w:rPr>
        <w:t xml:space="preserve">). </w:t>
      </w:r>
      <w:r w:rsidRPr="00732D7B">
        <w:rPr>
          <w:rFonts w:cstheme="minorHAnsi"/>
        </w:rPr>
        <w:t>En consecuencia, las siguientes explicaciones se basan en las variaciones producidas en dicha moneda, convertidas a pesos argentinos a efectos de su presentación.</w:t>
      </w:r>
    </w:p>
    <w:p w14:paraId="572D0E8F" w14:textId="5305CC24" w:rsidR="00531568" w:rsidRPr="00C85C05" w:rsidRDefault="00480289" w:rsidP="00722DB0">
      <w:pPr>
        <w:spacing w:before="120" w:after="120"/>
        <w:ind w:right="142"/>
        <w:jc w:val="both"/>
        <w:rPr>
          <w:rFonts w:cstheme="minorHAnsi"/>
        </w:rPr>
      </w:pPr>
      <w:r w:rsidRPr="00C85C05">
        <w:rPr>
          <w:rFonts w:cstheme="minorHAnsi"/>
        </w:rPr>
        <w:t xml:space="preserve">La producción total del </w:t>
      </w:r>
      <w:r w:rsidR="004F370E">
        <w:rPr>
          <w:rFonts w:cstheme="minorHAnsi"/>
        </w:rPr>
        <w:t>primer trimestre de 2023</w:t>
      </w:r>
      <w:r w:rsidRPr="00C85C05">
        <w:rPr>
          <w:rFonts w:cstheme="minorHAnsi"/>
        </w:rPr>
        <w:t xml:space="preserve"> alcanzó </w:t>
      </w:r>
      <w:r w:rsidR="00287E1C">
        <w:rPr>
          <w:rFonts w:cstheme="minorHAnsi"/>
        </w:rPr>
        <w:t>1.567</w:t>
      </w:r>
      <w:r w:rsidR="004A0D00" w:rsidRPr="00C85C05">
        <w:rPr>
          <w:rFonts w:cstheme="minorHAnsi"/>
        </w:rPr>
        <w:t xml:space="preserve"> Mm</w:t>
      </w:r>
      <w:r w:rsidR="004A0D00" w:rsidRPr="00B040EF">
        <w:rPr>
          <w:rFonts w:cstheme="minorHAnsi"/>
          <w:vertAlign w:val="superscript"/>
        </w:rPr>
        <w:t>3</w:t>
      </w:r>
      <w:r w:rsidR="001E1414" w:rsidRPr="00C85C05">
        <w:rPr>
          <w:rFonts w:cstheme="minorHAnsi"/>
        </w:rPr>
        <w:t>,</w:t>
      </w:r>
      <w:r w:rsidR="00F54B9A" w:rsidRPr="00C85C05">
        <w:rPr>
          <w:rFonts w:cstheme="minorHAnsi"/>
        </w:rPr>
        <w:t xml:space="preserve"> representando un</w:t>
      </w:r>
      <w:r w:rsidR="00287E1C">
        <w:rPr>
          <w:rFonts w:cstheme="minorHAnsi"/>
        </w:rPr>
        <w:t xml:space="preserve"> incremento</w:t>
      </w:r>
      <w:r w:rsidR="00F54B9A" w:rsidRPr="00C85C05">
        <w:rPr>
          <w:rFonts w:cstheme="minorHAnsi"/>
        </w:rPr>
        <w:t xml:space="preserve"> del </w:t>
      </w:r>
      <w:r w:rsidR="00287E1C">
        <w:rPr>
          <w:rFonts w:cstheme="minorHAnsi"/>
        </w:rPr>
        <w:t>6</w:t>
      </w:r>
      <w:r w:rsidR="003136BE" w:rsidRPr="00C85C05">
        <w:rPr>
          <w:rFonts w:cstheme="minorHAnsi"/>
        </w:rPr>
        <w:t>%</w:t>
      </w:r>
      <w:r w:rsidR="00F54B9A" w:rsidRPr="00C85C05">
        <w:rPr>
          <w:rFonts w:cstheme="minorHAnsi"/>
        </w:rPr>
        <w:t xml:space="preserve"> </w:t>
      </w:r>
      <w:r w:rsidRPr="00C85C05">
        <w:rPr>
          <w:rFonts w:cstheme="minorHAnsi"/>
        </w:rPr>
        <w:t xml:space="preserve">comparado </w:t>
      </w:r>
      <w:r w:rsidR="0069315C" w:rsidRPr="00C85C05">
        <w:rPr>
          <w:rFonts w:cstheme="minorHAnsi"/>
        </w:rPr>
        <w:t xml:space="preserve">con </w:t>
      </w:r>
      <w:r w:rsidRPr="00C85C05">
        <w:rPr>
          <w:rFonts w:cstheme="minorHAnsi"/>
        </w:rPr>
        <w:t>el mism</w:t>
      </w:r>
      <w:r w:rsidR="00E4161A" w:rsidRPr="00C85C05">
        <w:rPr>
          <w:rFonts w:cstheme="minorHAnsi"/>
        </w:rPr>
        <w:t xml:space="preserve">o período del año anterior. </w:t>
      </w:r>
    </w:p>
    <w:p w14:paraId="446BAFE9" w14:textId="2B293BE3" w:rsidR="00A57B1A" w:rsidRPr="006828E7" w:rsidRDefault="00531568" w:rsidP="008871D4">
      <w:pPr>
        <w:spacing w:before="120" w:after="120"/>
        <w:ind w:right="142"/>
        <w:jc w:val="both"/>
        <w:rPr>
          <w:rFonts w:cstheme="minorHAnsi"/>
        </w:rPr>
      </w:pPr>
      <w:r w:rsidRPr="00C85C05">
        <w:rPr>
          <w:rFonts w:cstheme="minorHAnsi"/>
        </w:rPr>
        <w:t>Las ventas</w:t>
      </w:r>
      <w:r w:rsidR="00B53C53">
        <w:rPr>
          <w:rFonts w:cstheme="minorHAnsi"/>
        </w:rPr>
        <w:t xml:space="preserve"> </w:t>
      </w:r>
      <w:r w:rsidRPr="00C85C05">
        <w:rPr>
          <w:rFonts w:cstheme="minorHAnsi"/>
        </w:rPr>
        <w:t>aumentaron</w:t>
      </w:r>
      <w:r w:rsidR="00BC12EE" w:rsidRPr="00C85C05">
        <w:rPr>
          <w:rFonts w:cstheme="minorHAnsi"/>
        </w:rPr>
        <w:t xml:space="preserve"> respecto del mismo período del </w:t>
      </w:r>
      <w:r w:rsidR="00BC12EE" w:rsidRPr="006828E7">
        <w:rPr>
          <w:rFonts w:cstheme="minorHAnsi"/>
        </w:rPr>
        <w:t>año anterior</w:t>
      </w:r>
      <w:r w:rsidR="008871D4" w:rsidRPr="006828E7">
        <w:rPr>
          <w:rFonts w:cstheme="minorHAnsi"/>
        </w:rPr>
        <w:t xml:space="preserve"> </w:t>
      </w:r>
      <w:r w:rsidR="00B040EF" w:rsidRPr="006828E7">
        <w:rPr>
          <w:rFonts w:cstheme="minorHAnsi"/>
        </w:rPr>
        <w:t xml:space="preserve">principalmente </w:t>
      </w:r>
      <w:r w:rsidR="00A57B1A" w:rsidRPr="006828E7">
        <w:rPr>
          <w:rFonts w:cstheme="minorHAnsi"/>
        </w:rPr>
        <w:t xml:space="preserve">por </w:t>
      </w:r>
      <w:r w:rsidR="00A378B3" w:rsidRPr="006828E7">
        <w:rPr>
          <w:rFonts w:cstheme="minorHAnsi"/>
        </w:rPr>
        <w:t xml:space="preserve">el </w:t>
      </w:r>
      <w:r w:rsidR="00A57B1A" w:rsidRPr="006828E7">
        <w:rPr>
          <w:rFonts w:cstheme="minorHAnsi"/>
        </w:rPr>
        <w:t xml:space="preserve">incremento en las cantidades despachadas de gas y crudo y del precio promedio de venta de gas, </w:t>
      </w:r>
      <w:r w:rsidR="00A378B3" w:rsidRPr="006828E7">
        <w:rPr>
          <w:rFonts w:cstheme="minorHAnsi"/>
        </w:rPr>
        <w:t>a pesar de</w:t>
      </w:r>
      <w:r w:rsidR="00A57B1A" w:rsidRPr="006828E7">
        <w:rPr>
          <w:rFonts w:cstheme="minorHAnsi"/>
        </w:rPr>
        <w:t xml:space="preserve"> una </w:t>
      </w:r>
      <w:r w:rsidR="00A378B3" w:rsidRPr="006828E7">
        <w:rPr>
          <w:rFonts w:cstheme="minorHAnsi"/>
        </w:rPr>
        <w:t xml:space="preserve">leve </w:t>
      </w:r>
      <w:r w:rsidR="00A57B1A" w:rsidRPr="006828E7">
        <w:rPr>
          <w:rFonts w:cstheme="minorHAnsi"/>
        </w:rPr>
        <w:t>disminución en los precios promedio de venta de crudo.</w:t>
      </w:r>
    </w:p>
    <w:p w14:paraId="51D03D66" w14:textId="5602AE63" w:rsidR="008871D4" w:rsidRPr="006828E7" w:rsidRDefault="00BC12EE" w:rsidP="008871D4">
      <w:pPr>
        <w:spacing w:before="120" w:after="120"/>
        <w:ind w:right="142"/>
        <w:jc w:val="both"/>
        <w:rPr>
          <w:rFonts w:cstheme="minorHAnsi"/>
        </w:rPr>
      </w:pPr>
      <w:r w:rsidRPr="006828E7">
        <w:rPr>
          <w:rFonts w:cstheme="minorHAnsi"/>
        </w:rPr>
        <w:t>Los costos operativos aumentaron</w:t>
      </w:r>
      <w:r w:rsidR="005C1A9B" w:rsidRPr="006828E7">
        <w:rPr>
          <w:rFonts w:cstheme="minorHAnsi"/>
        </w:rPr>
        <w:t xml:space="preserve"> </w:t>
      </w:r>
      <w:r w:rsidRPr="006828E7">
        <w:rPr>
          <w:rFonts w:cstheme="minorHAnsi"/>
        </w:rPr>
        <w:t>comparado con el</w:t>
      </w:r>
      <w:r w:rsidR="004F370E" w:rsidRPr="006828E7">
        <w:rPr>
          <w:rFonts w:cstheme="minorHAnsi"/>
        </w:rPr>
        <w:t xml:space="preserve"> primer</w:t>
      </w:r>
      <w:r w:rsidR="00FA03D2" w:rsidRPr="006828E7">
        <w:rPr>
          <w:rFonts w:cstheme="minorHAnsi"/>
        </w:rPr>
        <w:t xml:space="preserve"> trimestre del año 2022</w:t>
      </w:r>
      <w:r w:rsidR="00C94537" w:rsidRPr="006828E7">
        <w:rPr>
          <w:rFonts w:cstheme="minorHAnsi"/>
        </w:rPr>
        <w:t xml:space="preserve">, </w:t>
      </w:r>
      <w:r w:rsidR="002B0608" w:rsidRPr="006828E7">
        <w:rPr>
          <w:rFonts w:cstheme="minorHAnsi"/>
        </w:rPr>
        <w:t xml:space="preserve">lo cual es </w:t>
      </w:r>
      <w:r w:rsidR="005662FD" w:rsidRPr="006828E7">
        <w:rPr>
          <w:rFonts w:cstheme="minorHAnsi"/>
        </w:rPr>
        <w:t xml:space="preserve">explicado </w:t>
      </w:r>
      <w:r w:rsidR="00B040EF" w:rsidRPr="006828E7">
        <w:rPr>
          <w:rFonts w:cstheme="minorHAnsi"/>
        </w:rPr>
        <w:t xml:space="preserve">principalmente </w:t>
      </w:r>
      <w:r w:rsidR="00F1266F" w:rsidRPr="006828E7">
        <w:rPr>
          <w:rFonts w:cstheme="minorHAnsi"/>
        </w:rPr>
        <w:t>p</w:t>
      </w:r>
      <w:r w:rsidR="00A57B1A" w:rsidRPr="006828E7">
        <w:rPr>
          <w:rFonts w:cstheme="minorHAnsi"/>
        </w:rPr>
        <w:t xml:space="preserve">or los costos asociados a la mayor producción (depreciaciones de propiedades, planta y equipos y regalías) y por el incremento del componente local de los costos medidos en dólares estadounidenses.   </w:t>
      </w:r>
      <w:r w:rsidR="008871D4" w:rsidRPr="006828E7">
        <w:rPr>
          <w:rFonts w:cstheme="minorHAnsi"/>
        </w:rPr>
        <w:t xml:space="preserve"> </w:t>
      </w:r>
    </w:p>
    <w:p w14:paraId="75F38BCA" w14:textId="1E960F21" w:rsidR="003530D4" w:rsidRDefault="008871D4" w:rsidP="0094633C">
      <w:pPr>
        <w:spacing w:before="120" w:after="120"/>
        <w:ind w:right="142"/>
        <w:jc w:val="both"/>
        <w:rPr>
          <w:rFonts w:cstheme="minorHAnsi"/>
        </w:rPr>
      </w:pPr>
      <w:r w:rsidRPr="006828E7">
        <w:rPr>
          <w:rFonts w:cstheme="minorHAnsi"/>
        </w:rPr>
        <w:t>La</w:t>
      </w:r>
      <w:r w:rsidR="005662FD" w:rsidRPr="006828E7">
        <w:rPr>
          <w:rFonts w:cstheme="minorHAnsi"/>
        </w:rPr>
        <w:t xml:space="preserve"> </w:t>
      </w:r>
      <w:r w:rsidRPr="006828E7">
        <w:rPr>
          <w:rFonts w:cstheme="minorHAnsi"/>
        </w:rPr>
        <w:t>disminución</w:t>
      </w:r>
      <w:r w:rsidR="00103E20" w:rsidRPr="006828E7">
        <w:rPr>
          <w:rFonts w:cstheme="minorHAnsi"/>
        </w:rPr>
        <w:t xml:space="preserve"> de</w:t>
      </w:r>
      <w:r w:rsidR="005662FD" w:rsidRPr="006828E7">
        <w:rPr>
          <w:rFonts w:cstheme="minorHAnsi"/>
        </w:rPr>
        <w:t>l</w:t>
      </w:r>
      <w:r w:rsidR="004F370E" w:rsidRPr="006828E7">
        <w:rPr>
          <w:rFonts w:cstheme="minorHAnsi"/>
        </w:rPr>
        <w:t xml:space="preserve"> resultado operativo del primer trimestre de 2023</w:t>
      </w:r>
      <w:r w:rsidR="005662FD" w:rsidRPr="006828E7">
        <w:rPr>
          <w:rFonts w:cstheme="minorHAnsi"/>
        </w:rPr>
        <w:t xml:space="preserve"> </w:t>
      </w:r>
      <w:r w:rsidR="00103E20" w:rsidRPr="006828E7">
        <w:rPr>
          <w:rFonts w:cstheme="minorHAnsi"/>
        </w:rPr>
        <w:t>comparado</w:t>
      </w:r>
      <w:r w:rsidR="00103E20" w:rsidRPr="00C85C05">
        <w:rPr>
          <w:rFonts w:cstheme="minorHAnsi"/>
        </w:rPr>
        <w:t xml:space="preserve"> con el </w:t>
      </w:r>
      <w:r w:rsidR="004F370E">
        <w:rPr>
          <w:rFonts w:cstheme="minorHAnsi"/>
        </w:rPr>
        <w:t>primer</w:t>
      </w:r>
      <w:r w:rsidR="00FA03D2">
        <w:rPr>
          <w:rFonts w:cstheme="minorHAnsi"/>
        </w:rPr>
        <w:t xml:space="preserve"> trimestre de 2022</w:t>
      </w:r>
      <w:r w:rsidR="00103E20" w:rsidRPr="00C85C05">
        <w:rPr>
          <w:rFonts w:cstheme="minorHAnsi"/>
        </w:rPr>
        <w:t>, se explica</w:t>
      </w:r>
      <w:r w:rsidR="003530D4">
        <w:rPr>
          <w:rFonts w:cstheme="minorHAnsi"/>
        </w:rPr>
        <w:t xml:space="preserve"> principalmente </w:t>
      </w:r>
      <w:r w:rsidR="002134CB">
        <w:rPr>
          <w:rFonts w:cstheme="minorHAnsi"/>
        </w:rPr>
        <w:t xml:space="preserve">por: i) las variaciones en las ventas y costos operativos antes mencionadas, ii) </w:t>
      </w:r>
      <w:r w:rsidR="00A378B3">
        <w:rPr>
          <w:rFonts w:cstheme="minorHAnsi"/>
        </w:rPr>
        <w:t>mayores</w:t>
      </w:r>
      <w:r w:rsidR="003530D4">
        <w:rPr>
          <w:rFonts w:cstheme="minorHAnsi"/>
        </w:rPr>
        <w:t xml:space="preserve"> gastos de comercialización </w:t>
      </w:r>
      <w:r w:rsidR="00A378B3">
        <w:rPr>
          <w:rFonts w:cstheme="minorHAnsi"/>
        </w:rPr>
        <w:t xml:space="preserve">por el aumento de producción </w:t>
      </w:r>
      <w:r w:rsidR="003530D4">
        <w:rPr>
          <w:rFonts w:cstheme="minorHAnsi"/>
        </w:rPr>
        <w:t xml:space="preserve">y </w:t>
      </w:r>
      <w:r w:rsidR="00A378B3">
        <w:rPr>
          <w:rFonts w:cstheme="minorHAnsi"/>
        </w:rPr>
        <w:t xml:space="preserve">los gastos de </w:t>
      </w:r>
      <w:r w:rsidR="003530D4">
        <w:rPr>
          <w:rFonts w:cstheme="minorHAnsi"/>
        </w:rPr>
        <w:t xml:space="preserve">administración </w:t>
      </w:r>
      <w:r w:rsidR="002134CB">
        <w:rPr>
          <w:rFonts w:cstheme="minorHAnsi"/>
        </w:rPr>
        <w:t xml:space="preserve">medidos en dólares estadounidenses </w:t>
      </w:r>
      <w:r w:rsidR="007572A6">
        <w:rPr>
          <w:rFonts w:cstheme="minorHAnsi"/>
        </w:rPr>
        <w:t xml:space="preserve">y </w:t>
      </w:r>
      <w:r w:rsidR="002134CB">
        <w:rPr>
          <w:rFonts w:cstheme="minorHAnsi"/>
        </w:rPr>
        <w:t>iii) el incremento de los costos de áreas en evaluación</w:t>
      </w:r>
      <w:r w:rsidR="007572A6">
        <w:rPr>
          <w:rFonts w:cstheme="minorHAnsi"/>
        </w:rPr>
        <w:t xml:space="preserve">. </w:t>
      </w:r>
    </w:p>
    <w:p w14:paraId="791F2FC4" w14:textId="073199C2" w:rsidR="0098655F" w:rsidRPr="00C85C05" w:rsidRDefault="0098655F" w:rsidP="0094633C">
      <w:pPr>
        <w:spacing w:before="120" w:after="120"/>
        <w:ind w:right="142"/>
        <w:jc w:val="both"/>
        <w:rPr>
          <w:rFonts w:cstheme="minorHAnsi"/>
        </w:rPr>
        <w:sectPr w:rsidR="0098655F" w:rsidRPr="00C85C05" w:rsidSect="00BD2A20">
          <w:headerReference w:type="default" r:id="rId8"/>
          <w:pgSz w:w="12240" w:h="15840"/>
          <w:pgMar w:top="2085" w:right="1467" w:bottom="1276" w:left="1620" w:header="510" w:footer="283" w:gutter="0"/>
          <w:cols w:space="708"/>
          <w:docGrid w:linePitch="360"/>
        </w:sectPr>
      </w:pPr>
    </w:p>
    <w:p w14:paraId="3D7880B1" w14:textId="6EEE86B9" w:rsidR="00E731A7" w:rsidRDefault="00660762" w:rsidP="00737233">
      <w:pPr>
        <w:spacing w:before="120" w:after="120"/>
        <w:ind w:right="142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El aumento del </w:t>
      </w:r>
      <w:r w:rsidR="00CF5483" w:rsidRPr="00C85C05">
        <w:rPr>
          <w:rFonts w:cstheme="minorHAnsi"/>
        </w:rPr>
        <w:t xml:space="preserve">resultado neto en </w:t>
      </w:r>
      <w:r w:rsidR="00E577F8" w:rsidRPr="00C85C05">
        <w:rPr>
          <w:rFonts w:cstheme="minorHAnsi"/>
        </w:rPr>
        <w:t xml:space="preserve">el </w:t>
      </w:r>
      <w:r w:rsidR="004F370E">
        <w:rPr>
          <w:rFonts w:cstheme="minorHAnsi"/>
        </w:rPr>
        <w:t>primer trimestre de 2023</w:t>
      </w:r>
      <w:r w:rsidR="0084494F">
        <w:rPr>
          <w:rFonts w:cstheme="minorHAnsi"/>
        </w:rPr>
        <w:t xml:space="preserve"> respecto de</w:t>
      </w:r>
      <w:r w:rsidR="00CF5483" w:rsidRPr="00C85C05">
        <w:rPr>
          <w:rFonts w:cstheme="minorHAnsi"/>
        </w:rPr>
        <w:t xml:space="preserve">l </w:t>
      </w:r>
      <w:r w:rsidR="00FA03D2">
        <w:rPr>
          <w:rFonts w:cstheme="minorHAnsi"/>
        </w:rPr>
        <w:t>mismo período del año 2022</w:t>
      </w:r>
      <w:r w:rsidR="00D55B21" w:rsidRPr="00C85C05">
        <w:rPr>
          <w:rFonts w:cstheme="minorHAnsi"/>
        </w:rPr>
        <w:t xml:space="preserve"> </w:t>
      </w:r>
      <w:r>
        <w:rPr>
          <w:rFonts w:cstheme="minorHAnsi"/>
        </w:rPr>
        <w:t xml:space="preserve">se explica principalmente </w:t>
      </w:r>
      <w:r w:rsidR="00D55B21" w:rsidRPr="00C85C05">
        <w:rPr>
          <w:rFonts w:cstheme="minorHAnsi"/>
        </w:rPr>
        <w:t>por</w:t>
      </w:r>
      <w:r w:rsidR="00EE636B" w:rsidRPr="00C85C05">
        <w:rPr>
          <w:rFonts w:cstheme="minorHAnsi"/>
        </w:rPr>
        <w:t>: i)</w:t>
      </w:r>
      <w:r w:rsidR="006870F5">
        <w:rPr>
          <w:rFonts w:cstheme="minorHAnsi"/>
        </w:rPr>
        <w:t xml:space="preserve"> </w:t>
      </w:r>
      <w:r w:rsidR="00F24A6B">
        <w:rPr>
          <w:rFonts w:cstheme="minorHAnsi"/>
        </w:rPr>
        <w:t xml:space="preserve">la variación en el resultado operativo antes mencionada, ii) </w:t>
      </w:r>
      <w:r w:rsidR="00004C52">
        <w:rPr>
          <w:rFonts w:cstheme="minorHAnsi"/>
        </w:rPr>
        <w:t>mejores</w:t>
      </w:r>
      <w:r w:rsidR="00F24A6B">
        <w:rPr>
          <w:rFonts w:cstheme="minorHAnsi"/>
        </w:rPr>
        <w:t xml:space="preserve"> resultados financieros </w:t>
      </w:r>
      <w:r w:rsidR="00026F0D" w:rsidRPr="006870F5">
        <w:rPr>
          <w:rFonts w:cstheme="minorHAnsi"/>
        </w:rPr>
        <w:t xml:space="preserve">generado por las diferencias de cambio </w:t>
      </w:r>
      <w:r w:rsidR="00004C52">
        <w:rPr>
          <w:rFonts w:cstheme="minorHAnsi"/>
        </w:rPr>
        <w:t xml:space="preserve">netas </w:t>
      </w:r>
      <w:r w:rsidR="00026F0D" w:rsidRPr="006870F5">
        <w:rPr>
          <w:rFonts w:cstheme="minorHAnsi"/>
        </w:rPr>
        <w:t>sobre saldos en pesos argentinos (positivo en el presente período versus un resultado negativo en el mismo período del 2022)</w:t>
      </w:r>
      <w:r w:rsidR="00004C52">
        <w:rPr>
          <w:rFonts w:cstheme="minorHAnsi"/>
        </w:rPr>
        <w:t>,</w:t>
      </w:r>
      <w:r w:rsidR="00026F0D" w:rsidRPr="006870F5">
        <w:rPr>
          <w:rFonts w:cstheme="minorHAnsi"/>
        </w:rPr>
        <w:t xml:space="preserve"> al resultado por la compra-venta y tenencia de otras inversiones</w:t>
      </w:r>
      <w:r w:rsidR="008D22C8">
        <w:rPr>
          <w:rFonts w:cstheme="minorHAnsi"/>
        </w:rPr>
        <w:t xml:space="preserve"> </w:t>
      </w:r>
      <w:r w:rsidR="00004C52">
        <w:rPr>
          <w:rFonts w:cstheme="minorHAnsi"/>
        </w:rPr>
        <w:t>y el</w:t>
      </w:r>
      <w:r w:rsidR="00026F0D" w:rsidRPr="006870F5">
        <w:rPr>
          <w:rFonts w:cstheme="minorHAnsi"/>
        </w:rPr>
        <w:t xml:space="preserve"> aumento de los </w:t>
      </w:r>
      <w:r w:rsidR="00004C52">
        <w:rPr>
          <w:rFonts w:cstheme="minorHAnsi"/>
        </w:rPr>
        <w:t>costos de financiamiento</w:t>
      </w:r>
      <w:r w:rsidR="00026F0D" w:rsidRPr="006870F5">
        <w:rPr>
          <w:rFonts w:cstheme="minorHAnsi"/>
        </w:rPr>
        <w:t xml:space="preserve"> producto del cambio de moneda de ciertas deudas financieras</w:t>
      </w:r>
      <w:r w:rsidR="00086DAD">
        <w:rPr>
          <w:rFonts w:cstheme="minorHAnsi"/>
        </w:rPr>
        <w:t xml:space="preserve"> y</w:t>
      </w:r>
      <w:r w:rsidR="00E731A7">
        <w:rPr>
          <w:rFonts w:cstheme="minorHAnsi"/>
        </w:rPr>
        <w:t xml:space="preserve"> ii</w:t>
      </w:r>
      <w:r w:rsidR="00F24A6B">
        <w:rPr>
          <w:rFonts w:cstheme="minorHAnsi"/>
        </w:rPr>
        <w:t>i</w:t>
      </w:r>
      <w:r w:rsidR="00E731A7">
        <w:rPr>
          <w:rFonts w:cstheme="minorHAnsi"/>
        </w:rPr>
        <w:t>) por la variación del resultado por impuesto a las ganancias</w:t>
      </w:r>
      <w:r w:rsidR="00F05736">
        <w:rPr>
          <w:rFonts w:cstheme="minorHAnsi"/>
        </w:rPr>
        <w:t xml:space="preserve"> explicado principalmente por l</w:t>
      </w:r>
      <w:r w:rsidR="00E731A7" w:rsidRPr="00086DAD">
        <w:rPr>
          <w:rFonts w:cstheme="minorHAnsi"/>
        </w:rPr>
        <w:t>a</w:t>
      </w:r>
      <w:r w:rsidR="00F05736" w:rsidRPr="00086DAD">
        <w:rPr>
          <w:rFonts w:cstheme="minorHAnsi"/>
        </w:rPr>
        <w:t>s</w:t>
      </w:r>
      <w:r w:rsidR="00086DAD">
        <w:rPr>
          <w:rFonts w:cstheme="minorHAnsi"/>
        </w:rPr>
        <w:t xml:space="preserve"> variacio</w:t>
      </w:r>
      <w:r w:rsidR="00E731A7" w:rsidRPr="00086DAD">
        <w:rPr>
          <w:rFonts w:cstheme="minorHAnsi"/>
        </w:rPr>
        <w:t>n</w:t>
      </w:r>
      <w:r w:rsidR="00F05736" w:rsidRPr="00086DAD">
        <w:rPr>
          <w:rFonts w:cstheme="minorHAnsi"/>
        </w:rPr>
        <w:t>es</w:t>
      </w:r>
      <w:r w:rsidR="00E731A7" w:rsidRPr="00086DAD">
        <w:rPr>
          <w:rFonts w:cstheme="minorHAnsi"/>
        </w:rPr>
        <w:t xml:space="preserve"> en ventas, costos y demás gastos antes comentadas y la diferencia entre la evolución del índice de inflación utilizado para calcular el ajuste por inflación fiscal y la devaluación del peso argentino</w:t>
      </w:r>
      <w:r w:rsidR="00086DAD">
        <w:rPr>
          <w:rFonts w:cstheme="minorHAnsi"/>
        </w:rPr>
        <w:t>.</w:t>
      </w:r>
    </w:p>
    <w:p w14:paraId="463A491E" w14:textId="77777777" w:rsidR="0070220C" w:rsidRPr="00C85C05" w:rsidRDefault="0070220C" w:rsidP="0070220C">
      <w:pPr>
        <w:autoSpaceDE w:val="0"/>
        <w:autoSpaceDN w:val="0"/>
        <w:adjustRightInd w:val="0"/>
        <w:spacing w:before="240"/>
        <w:jc w:val="both"/>
        <w:rPr>
          <w:rFonts w:cstheme="minorHAnsi"/>
          <w:u w:val="single"/>
        </w:rPr>
      </w:pPr>
      <w:r w:rsidRPr="00C85C05">
        <w:rPr>
          <w:rFonts w:cstheme="minorHAnsi"/>
          <w:u w:val="single"/>
        </w:rPr>
        <w:t>Inversiones</w:t>
      </w:r>
    </w:p>
    <w:p w14:paraId="638D7E7C" w14:textId="0F4D13DE" w:rsidR="0070220C" w:rsidRDefault="0070220C" w:rsidP="0070220C">
      <w:pPr>
        <w:spacing w:before="120" w:after="120"/>
        <w:ind w:right="142"/>
        <w:jc w:val="both"/>
        <w:rPr>
          <w:rFonts w:cstheme="minorHAnsi"/>
        </w:rPr>
      </w:pPr>
      <w:r w:rsidRPr="00C85C05">
        <w:rPr>
          <w:rFonts w:cstheme="minorHAnsi"/>
        </w:rPr>
        <w:t xml:space="preserve">Las inversiones en Propiedades, planta y equipos ascendieron a </w:t>
      </w:r>
      <w:r w:rsidR="0031345F">
        <w:rPr>
          <w:rFonts w:cstheme="minorHAnsi"/>
        </w:rPr>
        <w:t>ARS 39.080</w:t>
      </w:r>
      <w:r w:rsidR="004F370E">
        <w:rPr>
          <w:rFonts w:cstheme="minorHAnsi"/>
        </w:rPr>
        <w:t xml:space="preserve"> millones en el</w:t>
      </w:r>
      <w:r w:rsidR="00FA03D2">
        <w:rPr>
          <w:rFonts w:cstheme="minorHAnsi"/>
        </w:rPr>
        <w:t xml:space="preserve"> período de tres meses finalizado el 31 de marzo de</w:t>
      </w:r>
      <w:r w:rsidR="004F370E">
        <w:rPr>
          <w:rFonts w:cstheme="minorHAnsi"/>
        </w:rPr>
        <w:t xml:space="preserve"> 2023</w:t>
      </w:r>
      <w:r w:rsidRPr="00C85C05">
        <w:rPr>
          <w:rFonts w:cstheme="minorHAnsi"/>
        </w:rPr>
        <w:t xml:space="preserve"> (ARS </w:t>
      </w:r>
      <w:r w:rsidR="0031345F">
        <w:rPr>
          <w:rFonts w:cstheme="minorHAnsi"/>
        </w:rPr>
        <w:t>17</w:t>
      </w:r>
      <w:r w:rsidRPr="00C85C05">
        <w:rPr>
          <w:rFonts w:cstheme="minorHAnsi"/>
        </w:rPr>
        <w:t>.</w:t>
      </w:r>
      <w:r w:rsidR="0031345F">
        <w:rPr>
          <w:rFonts w:cstheme="minorHAnsi"/>
        </w:rPr>
        <w:t>039</w:t>
      </w:r>
      <w:r w:rsidRPr="00C85C05">
        <w:rPr>
          <w:rFonts w:cstheme="minorHAnsi"/>
        </w:rPr>
        <w:t xml:space="preserve"> millones en el</w:t>
      </w:r>
      <w:r w:rsidR="0027027C">
        <w:rPr>
          <w:rFonts w:cstheme="minorHAnsi"/>
        </w:rPr>
        <w:t xml:space="preserve"> </w:t>
      </w:r>
      <w:r w:rsidR="00FA03D2">
        <w:rPr>
          <w:rFonts w:cstheme="minorHAnsi"/>
        </w:rPr>
        <w:t xml:space="preserve">mismo período del </w:t>
      </w:r>
      <w:r w:rsidRPr="00C85C05">
        <w:rPr>
          <w:rFonts w:cstheme="minorHAnsi"/>
        </w:rPr>
        <w:t>año 202</w:t>
      </w:r>
      <w:r w:rsidR="00922397">
        <w:rPr>
          <w:rFonts w:cstheme="minorHAnsi"/>
        </w:rPr>
        <w:t>2</w:t>
      </w:r>
      <w:r w:rsidRPr="00C85C05">
        <w:rPr>
          <w:rFonts w:cstheme="minorHAnsi"/>
        </w:rPr>
        <w:t xml:space="preserve">), siendo las más significativas las correspondientes al área Fortín de Piedra en ambos </w:t>
      </w:r>
      <w:r w:rsidR="00FA03D2">
        <w:rPr>
          <w:rFonts w:cstheme="minorHAnsi"/>
        </w:rPr>
        <w:t>períodos</w:t>
      </w:r>
      <w:r w:rsidRPr="00C85C05">
        <w:rPr>
          <w:rFonts w:cstheme="minorHAnsi"/>
        </w:rPr>
        <w:t xml:space="preserve">. </w:t>
      </w:r>
    </w:p>
    <w:p w14:paraId="179BB6BF" w14:textId="345CB4B6" w:rsidR="00CF5483" w:rsidRPr="00C85C05" w:rsidRDefault="005C72D8" w:rsidP="0070220C">
      <w:pPr>
        <w:spacing w:before="240" w:after="120" w:line="360" w:lineRule="auto"/>
        <w:ind w:right="142"/>
        <w:jc w:val="both"/>
        <w:rPr>
          <w:rFonts w:cstheme="minorHAnsi"/>
          <w:u w:val="single"/>
        </w:rPr>
      </w:pPr>
      <w:r w:rsidRPr="00C85C05">
        <w:rPr>
          <w:rFonts w:cstheme="minorHAnsi"/>
          <w:u w:val="single"/>
        </w:rPr>
        <w:t>Endeudamiento Financiero</w:t>
      </w:r>
    </w:p>
    <w:p w14:paraId="4BBE7D26" w14:textId="281E2659" w:rsidR="00E43A6F" w:rsidRPr="00C85C05" w:rsidRDefault="00CF5483" w:rsidP="00722DB0">
      <w:pPr>
        <w:spacing w:before="120" w:after="120"/>
        <w:ind w:right="142"/>
        <w:jc w:val="both"/>
        <w:rPr>
          <w:rFonts w:cstheme="minorHAnsi"/>
        </w:rPr>
      </w:pPr>
      <w:r w:rsidRPr="00C85C05">
        <w:rPr>
          <w:rFonts w:cstheme="minorHAnsi"/>
        </w:rPr>
        <w:t>La deuda neta (siendo Deuda Neta = Deuda Financiera – Efectivo y equivalentes de efectivo</w:t>
      </w:r>
      <w:r w:rsidR="00BC456E" w:rsidRPr="00C85C05">
        <w:rPr>
          <w:rFonts w:cstheme="minorHAnsi"/>
        </w:rPr>
        <w:t xml:space="preserve"> y Otras inversiones</w:t>
      </w:r>
      <w:r w:rsidR="0041717A" w:rsidRPr="00C85C05">
        <w:rPr>
          <w:rFonts w:cstheme="minorHAnsi"/>
        </w:rPr>
        <w:t xml:space="preserve"> de corto plazo</w:t>
      </w:r>
      <w:r w:rsidR="00F20F5D" w:rsidRPr="00C85C05">
        <w:rPr>
          <w:rFonts w:cstheme="minorHAnsi"/>
        </w:rPr>
        <w:t xml:space="preserve">) fue de </w:t>
      </w:r>
      <w:r w:rsidR="00412C51" w:rsidRPr="00C85C05">
        <w:rPr>
          <w:rFonts w:cstheme="minorHAnsi"/>
        </w:rPr>
        <w:t>ARS</w:t>
      </w:r>
      <w:r w:rsidRPr="00C85C05">
        <w:rPr>
          <w:rFonts w:cstheme="minorHAnsi"/>
        </w:rPr>
        <w:t xml:space="preserve"> </w:t>
      </w:r>
      <w:r w:rsidR="00A46222">
        <w:rPr>
          <w:rFonts w:cstheme="minorHAnsi"/>
        </w:rPr>
        <w:t>127</w:t>
      </w:r>
      <w:r w:rsidR="0094633C" w:rsidRPr="00C85C05">
        <w:rPr>
          <w:rFonts w:cstheme="minorHAnsi"/>
        </w:rPr>
        <w:t>.</w:t>
      </w:r>
      <w:r w:rsidR="00A46222">
        <w:rPr>
          <w:rFonts w:cstheme="minorHAnsi"/>
        </w:rPr>
        <w:t>627</w:t>
      </w:r>
      <w:r w:rsidRPr="00C85C05">
        <w:rPr>
          <w:rFonts w:cstheme="minorHAnsi"/>
        </w:rPr>
        <w:t xml:space="preserve"> millones al 3</w:t>
      </w:r>
      <w:r w:rsidR="002E6850">
        <w:rPr>
          <w:rFonts w:cstheme="minorHAnsi"/>
        </w:rPr>
        <w:t>1</w:t>
      </w:r>
      <w:r w:rsidRPr="00C85C05">
        <w:rPr>
          <w:rFonts w:cstheme="minorHAnsi"/>
        </w:rPr>
        <w:t xml:space="preserve"> de </w:t>
      </w:r>
      <w:r w:rsidR="004F370E">
        <w:rPr>
          <w:rFonts w:cstheme="minorHAnsi"/>
        </w:rPr>
        <w:t>marzo de 2023</w:t>
      </w:r>
      <w:r w:rsidR="00CC56B5" w:rsidRPr="00C85C05">
        <w:rPr>
          <w:rFonts w:cstheme="minorHAnsi"/>
        </w:rPr>
        <w:t xml:space="preserve">, </w:t>
      </w:r>
      <w:r w:rsidR="009F20BC">
        <w:rPr>
          <w:rFonts w:cstheme="minorHAnsi"/>
        </w:rPr>
        <w:t xml:space="preserve">aumentando </w:t>
      </w:r>
      <w:r w:rsidR="00660762">
        <w:rPr>
          <w:rFonts w:cstheme="minorHAnsi"/>
        </w:rPr>
        <w:t xml:space="preserve">respecto al </w:t>
      </w:r>
      <w:r w:rsidR="004F370E">
        <w:rPr>
          <w:rFonts w:cstheme="minorHAnsi"/>
        </w:rPr>
        <w:t>31 de diciembre de 2022</w:t>
      </w:r>
      <w:r w:rsidRPr="00B040EF">
        <w:rPr>
          <w:rFonts w:cstheme="minorHAnsi"/>
        </w:rPr>
        <w:t xml:space="preserve"> </w:t>
      </w:r>
      <w:r w:rsidR="00875747" w:rsidRPr="001134E7">
        <w:rPr>
          <w:rFonts w:cstheme="minorHAnsi"/>
        </w:rPr>
        <w:t xml:space="preserve">debido </w:t>
      </w:r>
      <w:r w:rsidR="0070220C" w:rsidRPr="001134E7">
        <w:rPr>
          <w:rFonts w:cstheme="minorHAnsi"/>
        </w:rPr>
        <w:t>principalmente</w:t>
      </w:r>
      <w:r w:rsidR="001C5516">
        <w:rPr>
          <w:rFonts w:cstheme="minorHAnsi"/>
        </w:rPr>
        <w:t xml:space="preserve"> al</w:t>
      </w:r>
      <w:r w:rsidR="00875747" w:rsidRPr="001134E7">
        <w:rPr>
          <w:rFonts w:cstheme="minorHAnsi"/>
        </w:rPr>
        <w:t xml:space="preserve"> pago de las inversiones </w:t>
      </w:r>
      <w:r w:rsidR="0070220C" w:rsidRPr="001134E7">
        <w:rPr>
          <w:rFonts w:cstheme="minorHAnsi"/>
        </w:rPr>
        <w:t>antes mencionadas</w:t>
      </w:r>
      <w:r w:rsidR="00660762">
        <w:rPr>
          <w:rFonts w:cstheme="minorHAnsi"/>
        </w:rPr>
        <w:t>,</w:t>
      </w:r>
      <w:r w:rsidR="00B33FC3">
        <w:rPr>
          <w:rFonts w:cstheme="minorHAnsi"/>
        </w:rPr>
        <w:t xml:space="preserve"> neto de la generación del período</w:t>
      </w:r>
      <w:r w:rsidR="001134E7">
        <w:rPr>
          <w:rFonts w:cstheme="minorHAnsi"/>
        </w:rPr>
        <w:t>.</w:t>
      </w:r>
    </w:p>
    <w:p w14:paraId="181C792C" w14:textId="77777777" w:rsidR="00AF4D12" w:rsidRPr="00C85C05" w:rsidRDefault="00AF4D12" w:rsidP="004F1628">
      <w:pPr>
        <w:spacing w:before="240" w:after="120"/>
        <w:jc w:val="both"/>
        <w:rPr>
          <w:rFonts w:cstheme="minorHAnsi"/>
        </w:rPr>
      </w:pPr>
    </w:p>
    <w:sectPr w:rsidR="00AF4D12" w:rsidRPr="00C85C05" w:rsidSect="00BD2A20">
      <w:headerReference w:type="default" r:id="rId9"/>
      <w:pgSz w:w="12240" w:h="15840"/>
      <w:pgMar w:top="2085" w:right="1467" w:bottom="1276" w:left="16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DC41" w14:textId="77777777" w:rsidR="005A4B27" w:rsidRDefault="005A4B27" w:rsidP="00F855DA">
      <w:pPr>
        <w:spacing w:after="0" w:line="240" w:lineRule="auto"/>
      </w:pPr>
      <w:r>
        <w:separator/>
      </w:r>
    </w:p>
  </w:endnote>
  <w:endnote w:type="continuationSeparator" w:id="0">
    <w:p w14:paraId="43B352A1" w14:textId="77777777" w:rsidR="005A4B27" w:rsidRDefault="005A4B27" w:rsidP="00F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D4E49" w14:textId="77777777" w:rsidR="005A4B27" w:rsidRDefault="005A4B27" w:rsidP="00F855DA">
      <w:pPr>
        <w:spacing w:after="0" w:line="240" w:lineRule="auto"/>
      </w:pPr>
      <w:r>
        <w:separator/>
      </w:r>
    </w:p>
  </w:footnote>
  <w:footnote w:type="continuationSeparator" w:id="0">
    <w:p w14:paraId="7751FBDE" w14:textId="77777777" w:rsidR="005A4B27" w:rsidRDefault="005A4B27" w:rsidP="00F8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AFF6" w14:textId="7BD85C80" w:rsidR="001C1BAF" w:rsidRDefault="00150B9A" w:rsidP="00D864F5">
    <w:pPr>
      <w:pStyle w:val="Header"/>
      <w:ind w:hanging="709"/>
    </w:pPr>
    <w:r>
      <w:rPr>
        <w:noProof/>
        <w:lang w:eastAsia="es-AR"/>
      </w:rPr>
      <w:object w:dxaOrig="1440" w:dyaOrig="1440" w14:anchorId="53853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95pt;margin-top:2.95pt;width:93.85pt;height:53.05pt;z-index:251658240">
          <v:imagedata r:id="rId1" o:title=""/>
        </v:shape>
        <o:OLEObject Type="Embed" ProgID="Photoshop.Image.10" ShapeID="_x0000_s2049" DrawAspect="Content" ObjectID="_1745409036" r:id="rId2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FDB1" w14:textId="77777777" w:rsidR="0098655F" w:rsidRDefault="0098655F" w:rsidP="00D864F5">
    <w:pPr>
      <w:pStyle w:val="Header"/>
      <w:ind w:hanging="709"/>
    </w:pPr>
    <w:r w:rsidRPr="00443D09">
      <w:rPr>
        <w:noProof/>
        <w:lang w:eastAsia="es-AR"/>
      </w:rPr>
      <w:drawing>
        <wp:inline distT="0" distB="0" distL="0" distR="0" wp14:anchorId="6C226589" wp14:editId="7E9E2ABB">
          <wp:extent cx="412750" cy="4635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17" r="38849" b="32014"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77E9"/>
    <w:multiLevelType w:val="hybridMultilevel"/>
    <w:tmpl w:val="F6CA3D98"/>
    <w:lvl w:ilvl="0" w:tplc="C8FC27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05DD"/>
    <w:multiLevelType w:val="hybridMultilevel"/>
    <w:tmpl w:val="325A3494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53"/>
    <w:rsid w:val="00001227"/>
    <w:rsid w:val="00002EE8"/>
    <w:rsid w:val="0000335A"/>
    <w:rsid w:val="00004C52"/>
    <w:rsid w:val="0001419F"/>
    <w:rsid w:val="00014EEE"/>
    <w:rsid w:val="00016910"/>
    <w:rsid w:val="00016C99"/>
    <w:rsid w:val="000209C3"/>
    <w:rsid w:val="00021438"/>
    <w:rsid w:val="000251D9"/>
    <w:rsid w:val="00026F0D"/>
    <w:rsid w:val="000276BD"/>
    <w:rsid w:val="00041FF1"/>
    <w:rsid w:val="0005133C"/>
    <w:rsid w:val="00051998"/>
    <w:rsid w:val="00052C4B"/>
    <w:rsid w:val="00056922"/>
    <w:rsid w:val="00057F72"/>
    <w:rsid w:val="000627D5"/>
    <w:rsid w:val="0006428F"/>
    <w:rsid w:val="00064D3A"/>
    <w:rsid w:val="00066A9D"/>
    <w:rsid w:val="00066BE4"/>
    <w:rsid w:val="00081827"/>
    <w:rsid w:val="0008282B"/>
    <w:rsid w:val="0008337D"/>
    <w:rsid w:val="00083950"/>
    <w:rsid w:val="00086DAD"/>
    <w:rsid w:val="00092F3E"/>
    <w:rsid w:val="0009369D"/>
    <w:rsid w:val="00096FDB"/>
    <w:rsid w:val="000A4EDF"/>
    <w:rsid w:val="000B0B8E"/>
    <w:rsid w:val="000D2A11"/>
    <w:rsid w:val="000D64E9"/>
    <w:rsid w:val="000D7721"/>
    <w:rsid w:val="000F0A81"/>
    <w:rsid w:val="000F10A0"/>
    <w:rsid w:val="000F2839"/>
    <w:rsid w:val="00103E20"/>
    <w:rsid w:val="0010514F"/>
    <w:rsid w:val="0011091D"/>
    <w:rsid w:val="001134E7"/>
    <w:rsid w:val="0011696B"/>
    <w:rsid w:val="00117898"/>
    <w:rsid w:val="00126A89"/>
    <w:rsid w:val="00135B89"/>
    <w:rsid w:val="00135D2E"/>
    <w:rsid w:val="00140986"/>
    <w:rsid w:val="00142453"/>
    <w:rsid w:val="00143503"/>
    <w:rsid w:val="0014576D"/>
    <w:rsid w:val="00145B1D"/>
    <w:rsid w:val="0014623C"/>
    <w:rsid w:val="00150B9A"/>
    <w:rsid w:val="00162817"/>
    <w:rsid w:val="001658AC"/>
    <w:rsid w:val="001668BF"/>
    <w:rsid w:val="001712BD"/>
    <w:rsid w:val="00176849"/>
    <w:rsid w:val="00187572"/>
    <w:rsid w:val="00191F71"/>
    <w:rsid w:val="001955E5"/>
    <w:rsid w:val="001A1B3B"/>
    <w:rsid w:val="001A27D9"/>
    <w:rsid w:val="001A314D"/>
    <w:rsid w:val="001A4238"/>
    <w:rsid w:val="001A4D7F"/>
    <w:rsid w:val="001A5DD5"/>
    <w:rsid w:val="001B427D"/>
    <w:rsid w:val="001B568B"/>
    <w:rsid w:val="001B59DF"/>
    <w:rsid w:val="001B7242"/>
    <w:rsid w:val="001C0C79"/>
    <w:rsid w:val="001C0E11"/>
    <w:rsid w:val="001C1BAF"/>
    <w:rsid w:val="001C5516"/>
    <w:rsid w:val="001C6973"/>
    <w:rsid w:val="001D27D0"/>
    <w:rsid w:val="001D6EC1"/>
    <w:rsid w:val="001D7AB1"/>
    <w:rsid w:val="001E1414"/>
    <w:rsid w:val="001E5EBF"/>
    <w:rsid w:val="001F04C4"/>
    <w:rsid w:val="001F255D"/>
    <w:rsid w:val="001F2589"/>
    <w:rsid w:val="001F3615"/>
    <w:rsid w:val="001F59D5"/>
    <w:rsid w:val="001F701D"/>
    <w:rsid w:val="001F75A7"/>
    <w:rsid w:val="0020586D"/>
    <w:rsid w:val="0021055A"/>
    <w:rsid w:val="002119E3"/>
    <w:rsid w:val="00212314"/>
    <w:rsid w:val="00212C77"/>
    <w:rsid w:val="002134CB"/>
    <w:rsid w:val="00217383"/>
    <w:rsid w:val="00233526"/>
    <w:rsid w:val="00235188"/>
    <w:rsid w:val="00243D66"/>
    <w:rsid w:val="00245F86"/>
    <w:rsid w:val="002517B0"/>
    <w:rsid w:val="00252669"/>
    <w:rsid w:val="00256B5B"/>
    <w:rsid w:val="00263572"/>
    <w:rsid w:val="002653EB"/>
    <w:rsid w:val="002679B2"/>
    <w:rsid w:val="0027027C"/>
    <w:rsid w:val="00271E62"/>
    <w:rsid w:val="00287E1C"/>
    <w:rsid w:val="002918BE"/>
    <w:rsid w:val="0029225C"/>
    <w:rsid w:val="00295D72"/>
    <w:rsid w:val="002A134C"/>
    <w:rsid w:val="002A1458"/>
    <w:rsid w:val="002A27EA"/>
    <w:rsid w:val="002A28FD"/>
    <w:rsid w:val="002A3AD1"/>
    <w:rsid w:val="002A3F5F"/>
    <w:rsid w:val="002A6FEA"/>
    <w:rsid w:val="002A7A4E"/>
    <w:rsid w:val="002B0608"/>
    <w:rsid w:val="002B0D6B"/>
    <w:rsid w:val="002C02DD"/>
    <w:rsid w:val="002C1CC7"/>
    <w:rsid w:val="002C27B7"/>
    <w:rsid w:val="002C2D03"/>
    <w:rsid w:val="002C3406"/>
    <w:rsid w:val="002C7854"/>
    <w:rsid w:val="002D587F"/>
    <w:rsid w:val="002D7CE0"/>
    <w:rsid w:val="002E2A40"/>
    <w:rsid w:val="002E396D"/>
    <w:rsid w:val="002E6850"/>
    <w:rsid w:val="002F51AC"/>
    <w:rsid w:val="00305CF1"/>
    <w:rsid w:val="00307113"/>
    <w:rsid w:val="003115F4"/>
    <w:rsid w:val="0031345F"/>
    <w:rsid w:val="003136BE"/>
    <w:rsid w:val="00314935"/>
    <w:rsid w:val="00314B09"/>
    <w:rsid w:val="00320FED"/>
    <w:rsid w:val="00327664"/>
    <w:rsid w:val="003350E7"/>
    <w:rsid w:val="00340A84"/>
    <w:rsid w:val="0034174C"/>
    <w:rsid w:val="00343428"/>
    <w:rsid w:val="00346F5D"/>
    <w:rsid w:val="0035079F"/>
    <w:rsid w:val="003530D4"/>
    <w:rsid w:val="00353CF4"/>
    <w:rsid w:val="0035559D"/>
    <w:rsid w:val="003569AB"/>
    <w:rsid w:val="0036478A"/>
    <w:rsid w:val="00366741"/>
    <w:rsid w:val="00370D62"/>
    <w:rsid w:val="00372365"/>
    <w:rsid w:val="003726F5"/>
    <w:rsid w:val="00373BA7"/>
    <w:rsid w:val="00374E0C"/>
    <w:rsid w:val="00380AD1"/>
    <w:rsid w:val="0038338A"/>
    <w:rsid w:val="00387B0E"/>
    <w:rsid w:val="003A63CF"/>
    <w:rsid w:val="003B4A35"/>
    <w:rsid w:val="003D57EF"/>
    <w:rsid w:val="003D6A60"/>
    <w:rsid w:val="003E639A"/>
    <w:rsid w:val="003E776E"/>
    <w:rsid w:val="003F6073"/>
    <w:rsid w:val="00410BF5"/>
    <w:rsid w:val="004118EC"/>
    <w:rsid w:val="00412C51"/>
    <w:rsid w:val="0041717A"/>
    <w:rsid w:val="004178B1"/>
    <w:rsid w:val="004307B9"/>
    <w:rsid w:val="00432B31"/>
    <w:rsid w:val="0043332C"/>
    <w:rsid w:val="00435D2F"/>
    <w:rsid w:val="004368DA"/>
    <w:rsid w:val="004379B8"/>
    <w:rsid w:val="00437DE7"/>
    <w:rsid w:val="004409FE"/>
    <w:rsid w:val="004410B2"/>
    <w:rsid w:val="004433DD"/>
    <w:rsid w:val="0044492F"/>
    <w:rsid w:val="00457179"/>
    <w:rsid w:val="0046274A"/>
    <w:rsid w:val="00472E55"/>
    <w:rsid w:val="00480289"/>
    <w:rsid w:val="00480B98"/>
    <w:rsid w:val="00485C97"/>
    <w:rsid w:val="00491132"/>
    <w:rsid w:val="00494221"/>
    <w:rsid w:val="00494A39"/>
    <w:rsid w:val="004A0D00"/>
    <w:rsid w:val="004A7F2D"/>
    <w:rsid w:val="004B515A"/>
    <w:rsid w:val="004B71F2"/>
    <w:rsid w:val="004C096D"/>
    <w:rsid w:val="004C0D9F"/>
    <w:rsid w:val="004C3AC8"/>
    <w:rsid w:val="004C4F08"/>
    <w:rsid w:val="004C54EC"/>
    <w:rsid w:val="004D1DF5"/>
    <w:rsid w:val="004D57A0"/>
    <w:rsid w:val="004D745E"/>
    <w:rsid w:val="004E19F6"/>
    <w:rsid w:val="004E48C4"/>
    <w:rsid w:val="004E7ED8"/>
    <w:rsid w:val="004F1628"/>
    <w:rsid w:val="004F370E"/>
    <w:rsid w:val="005029AA"/>
    <w:rsid w:val="005037DB"/>
    <w:rsid w:val="00504CF9"/>
    <w:rsid w:val="00512747"/>
    <w:rsid w:val="00523232"/>
    <w:rsid w:val="00523436"/>
    <w:rsid w:val="00530DEE"/>
    <w:rsid w:val="00530FD6"/>
    <w:rsid w:val="00531568"/>
    <w:rsid w:val="00532031"/>
    <w:rsid w:val="00533037"/>
    <w:rsid w:val="00536DC3"/>
    <w:rsid w:val="0054148B"/>
    <w:rsid w:val="00556C62"/>
    <w:rsid w:val="005662FD"/>
    <w:rsid w:val="00566F61"/>
    <w:rsid w:val="005730C4"/>
    <w:rsid w:val="00580B18"/>
    <w:rsid w:val="00581454"/>
    <w:rsid w:val="00584A4A"/>
    <w:rsid w:val="00590B69"/>
    <w:rsid w:val="00593C67"/>
    <w:rsid w:val="005A4B27"/>
    <w:rsid w:val="005A69A0"/>
    <w:rsid w:val="005B0310"/>
    <w:rsid w:val="005B7B43"/>
    <w:rsid w:val="005C1A9B"/>
    <w:rsid w:val="005C4371"/>
    <w:rsid w:val="005C44C4"/>
    <w:rsid w:val="005C4ACE"/>
    <w:rsid w:val="005C5421"/>
    <w:rsid w:val="005C6AC3"/>
    <w:rsid w:val="005C72D8"/>
    <w:rsid w:val="005C7D16"/>
    <w:rsid w:val="005D4CA0"/>
    <w:rsid w:val="005D4E54"/>
    <w:rsid w:val="005D56AA"/>
    <w:rsid w:val="005D6C0C"/>
    <w:rsid w:val="005D6E74"/>
    <w:rsid w:val="005E06D1"/>
    <w:rsid w:val="005E33A9"/>
    <w:rsid w:val="005E710B"/>
    <w:rsid w:val="005F0624"/>
    <w:rsid w:val="005F0C37"/>
    <w:rsid w:val="00600933"/>
    <w:rsid w:val="006014C5"/>
    <w:rsid w:val="006119B4"/>
    <w:rsid w:val="00612AB9"/>
    <w:rsid w:val="00613ED5"/>
    <w:rsid w:val="00626D44"/>
    <w:rsid w:val="00632C26"/>
    <w:rsid w:val="006425FB"/>
    <w:rsid w:val="006532CF"/>
    <w:rsid w:val="00660762"/>
    <w:rsid w:val="00661349"/>
    <w:rsid w:val="006624E9"/>
    <w:rsid w:val="00663B1A"/>
    <w:rsid w:val="00676E17"/>
    <w:rsid w:val="00682742"/>
    <w:rsid w:val="006828E7"/>
    <w:rsid w:val="00682A0B"/>
    <w:rsid w:val="00682F03"/>
    <w:rsid w:val="006870F5"/>
    <w:rsid w:val="0069315C"/>
    <w:rsid w:val="00696CA5"/>
    <w:rsid w:val="006A4CCB"/>
    <w:rsid w:val="006A4D44"/>
    <w:rsid w:val="006B0F84"/>
    <w:rsid w:val="006B15D8"/>
    <w:rsid w:val="006C03F9"/>
    <w:rsid w:val="006C0C40"/>
    <w:rsid w:val="006C1788"/>
    <w:rsid w:val="006C5EE4"/>
    <w:rsid w:val="006D29A0"/>
    <w:rsid w:val="006D7B6A"/>
    <w:rsid w:val="006E35B0"/>
    <w:rsid w:val="006E497B"/>
    <w:rsid w:val="006E5942"/>
    <w:rsid w:val="006E7205"/>
    <w:rsid w:val="006F1873"/>
    <w:rsid w:val="006F25F2"/>
    <w:rsid w:val="006F26AC"/>
    <w:rsid w:val="006F3E18"/>
    <w:rsid w:val="00700BD7"/>
    <w:rsid w:val="0070220C"/>
    <w:rsid w:val="00702882"/>
    <w:rsid w:val="0070736E"/>
    <w:rsid w:val="0071089D"/>
    <w:rsid w:val="00711EF8"/>
    <w:rsid w:val="007148BE"/>
    <w:rsid w:val="00716CF5"/>
    <w:rsid w:val="00717E3C"/>
    <w:rsid w:val="00722DB0"/>
    <w:rsid w:val="00723EFB"/>
    <w:rsid w:val="00724AD7"/>
    <w:rsid w:val="007267D2"/>
    <w:rsid w:val="00732327"/>
    <w:rsid w:val="007326AC"/>
    <w:rsid w:val="00732D7B"/>
    <w:rsid w:val="00736078"/>
    <w:rsid w:val="00737233"/>
    <w:rsid w:val="0073783F"/>
    <w:rsid w:val="00737D57"/>
    <w:rsid w:val="00741C40"/>
    <w:rsid w:val="007441E1"/>
    <w:rsid w:val="00746B90"/>
    <w:rsid w:val="00755BAA"/>
    <w:rsid w:val="007572A6"/>
    <w:rsid w:val="0076004B"/>
    <w:rsid w:val="0077201F"/>
    <w:rsid w:val="00772FF9"/>
    <w:rsid w:val="00774306"/>
    <w:rsid w:val="00776F72"/>
    <w:rsid w:val="0077709B"/>
    <w:rsid w:val="007821DF"/>
    <w:rsid w:val="00785240"/>
    <w:rsid w:val="00786252"/>
    <w:rsid w:val="00791436"/>
    <w:rsid w:val="00792646"/>
    <w:rsid w:val="00794869"/>
    <w:rsid w:val="00796C86"/>
    <w:rsid w:val="007A51D9"/>
    <w:rsid w:val="007B03C0"/>
    <w:rsid w:val="007B760D"/>
    <w:rsid w:val="007C04D0"/>
    <w:rsid w:val="007C3471"/>
    <w:rsid w:val="007C637D"/>
    <w:rsid w:val="007C786E"/>
    <w:rsid w:val="007D110E"/>
    <w:rsid w:val="007D2F65"/>
    <w:rsid w:val="007D4DEB"/>
    <w:rsid w:val="007D7E52"/>
    <w:rsid w:val="007E425C"/>
    <w:rsid w:val="007E7356"/>
    <w:rsid w:val="007F4F25"/>
    <w:rsid w:val="007F542E"/>
    <w:rsid w:val="007F6867"/>
    <w:rsid w:val="008019D0"/>
    <w:rsid w:val="008028FB"/>
    <w:rsid w:val="00806C74"/>
    <w:rsid w:val="00812827"/>
    <w:rsid w:val="00813326"/>
    <w:rsid w:val="00815442"/>
    <w:rsid w:val="00816F51"/>
    <w:rsid w:val="00821E2A"/>
    <w:rsid w:val="008251C5"/>
    <w:rsid w:val="00825D34"/>
    <w:rsid w:val="008317C3"/>
    <w:rsid w:val="00831C24"/>
    <w:rsid w:val="00832E0C"/>
    <w:rsid w:val="0083483C"/>
    <w:rsid w:val="008377C7"/>
    <w:rsid w:val="008418C0"/>
    <w:rsid w:val="0084232A"/>
    <w:rsid w:val="0084494F"/>
    <w:rsid w:val="00854984"/>
    <w:rsid w:val="00864034"/>
    <w:rsid w:val="00865D2D"/>
    <w:rsid w:val="00870657"/>
    <w:rsid w:val="0087427B"/>
    <w:rsid w:val="00874AF8"/>
    <w:rsid w:val="00875747"/>
    <w:rsid w:val="008801DC"/>
    <w:rsid w:val="00883D5B"/>
    <w:rsid w:val="008871D4"/>
    <w:rsid w:val="00895967"/>
    <w:rsid w:val="008979D2"/>
    <w:rsid w:val="008A038F"/>
    <w:rsid w:val="008A0AA9"/>
    <w:rsid w:val="008A26B4"/>
    <w:rsid w:val="008A4F76"/>
    <w:rsid w:val="008A7446"/>
    <w:rsid w:val="008A78A4"/>
    <w:rsid w:val="008B0856"/>
    <w:rsid w:val="008B489F"/>
    <w:rsid w:val="008B5455"/>
    <w:rsid w:val="008B679C"/>
    <w:rsid w:val="008C048B"/>
    <w:rsid w:val="008C214E"/>
    <w:rsid w:val="008C2E88"/>
    <w:rsid w:val="008D12C7"/>
    <w:rsid w:val="008D22C8"/>
    <w:rsid w:val="008D645F"/>
    <w:rsid w:val="008E3179"/>
    <w:rsid w:val="008E3641"/>
    <w:rsid w:val="008E3F39"/>
    <w:rsid w:val="008E6089"/>
    <w:rsid w:val="008E67C3"/>
    <w:rsid w:val="008E6AC3"/>
    <w:rsid w:val="008F059A"/>
    <w:rsid w:val="008F1625"/>
    <w:rsid w:val="008F3D70"/>
    <w:rsid w:val="008F54AA"/>
    <w:rsid w:val="00900040"/>
    <w:rsid w:val="009104B4"/>
    <w:rsid w:val="00911CD8"/>
    <w:rsid w:val="00916C26"/>
    <w:rsid w:val="00922397"/>
    <w:rsid w:val="009223E1"/>
    <w:rsid w:val="00924AEB"/>
    <w:rsid w:val="00932AB1"/>
    <w:rsid w:val="009359B0"/>
    <w:rsid w:val="00943075"/>
    <w:rsid w:val="00943821"/>
    <w:rsid w:val="0094633C"/>
    <w:rsid w:val="00950CAB"/>
    <w:rsid w:val="00952DC7"/>
    <w:rsid w:val="00954D06"/>
    <w:rsid w:val="00957DBB"/>
    <w:rsid w:val="00962BE2"/>
    <w:rsid w:val="00963501"/>
    <w:rsid w:val="00974A21"/>
    <w:rsid w:val="00982752"/>
    <w:rsid w:val="0098402B"/>
    <w:rsid w:val="0098465D"/>
    <w:rsid w:val="00985764"/>
    <w:rsid w:val="00986233"/>
    <w:rsid w:val="0098655F"/>
    <w:rsid w:val="00995FE7"/>
    <w:rsid w:val="00997280"/>
    <w:rsid w:val="009A1E8A"/>
    <w:rsid w:val="009A3E02"/>
    <w:rsid w:val="009A50DD"/>
    <w:rsid w:val="009A5EA2"/>
    <w:rsid w:val="009B6CDB"/>
    <w:rsid w:val="009C06B3"/>
    <w:rsid w:val="009C4498"/>
    <w:rsid w:val="009C5BED"/>
    <w:rsid w:val="009D42EB"/>
    <w:rsid w:val="009F20BC"/>
    <w:rsid w:val="00A024F2"/>
    <w:rsid w:val="00A05660"/>
    <w:rsid w:val="00A0757E"/>
    <w:rsid w:val="00A16237"/>
    <w:rsid w:val="00A17691"/>
    <w:rsid w:val="00A257AB"/>
    <w:rsid w:val="00A25A2A"/>
    <w:rsid w:val="00A3665B"/>
    <w:rsid w:val="00A378B3"/>
    <w:rsid w:val="00A41E5B"/>
    <w:rsid w:val="00A4524E"/>
    <w:rsid w:val="00A46222"/>
    <w:rsid w:val="00A47A63"/>
    <w:rsid w:val="00A56333"/>
    <w:rsid w:val="00A57B1A"/>
    <w:rsid w:val="00A622AF"/>
    <w:rsid w:val="00A6508E"/>
    <w:rsid w:val="00A65E7F"/>
    <w:rsid w:val="00A65E9A"/>
    <w:rsid w:val="00A72473"/>
    <w:rsid w:val="00A739D5"/>
    <w:rsid w:val="00A75694"/>
    <w:rsid w:val="00A75896"/>
    <w:rsid w:val="00A75BF4"/>
    <w:rsid w:val="00A75C1F"/>
    <w:rsid w:val="00A90AF6"/>
    <w:rsid w:val="00A95732"/>
    <w:rsid w:val="00AA0701"/>
    <w:rsid w:val="00AA2698"/>
    <w:rsid w:val="00AA31ED"/>
    <w:rsid w:val="00AA3AE6"/>
    <w:rsid w:val="00AA66AF"/>
    <w:rsid w:val="00AA7D87"/>
    <w:rsid w:val="00AB6BE2"/>
    <w:rsid w:val="00AC21E1"/>
    <w:rsid w:val="00AD0621"/>
    <w:rsid w:val="00AD0F97"/>
    <w:rsid w:val="00AD183F"/>
    <w:rsid w:val="00AD776B"/>
    <w:rsid w:val="00AE116D"/>
    <w:rsid w:val="00AE1EEA"/>
    <w:rsid w:val="00AE24B2"/>
    <w:rsid w:val="00AE64DF"/>
    <w:rsid w:val="00AF2452"/>
    <w:rsid w:val="00AF30A7"/>
    <w:rsid w:val="00AF3205"/>
    <w:rsid w:val="00AF3FA1"/>
    <w:rsid w:val="00AF4D12"/>
    <w:rsid w:val="00AF6CF4"/>
    <w:rsid w:val="00B040EF"/>
    <w:rsid w:val="00B0759B"/>
    <w:rsid w:val="00B12F4A"/>
    <w:rsid w:val="00B1348F"/>
    <w:rsid w:val="00B13736"/>
    <w:rsid w:val="00B15C53"/>
    <w:rsid w:val="00B17A84"/>
    <w:rsid w:val="00B242BA"/>
    <w:rsid w:val="00B272F7"/>
    <w:rsid w:val="00B33FC3"/>
    <w:rsid w:val="00B343C1"/>
    <w:rsid w:val="00B403AB"/>
    <w:rsid w:val="00B4155A"/>
    <w:rsid w:val="00B42049"/>
    <w:rsid w:val="00B4533E"/>
    <w:rsid w:val="00B53C53"/>
    <w:rsid w:val="00B572C5"/>
    <w:rsid w:val="00B60441"/>
    <w:rsid w:val="00B66FB1"/>
    <w:rsid w:val="00B70914"/>
    <w:rsid w:val="00B70A9C"/>
    <w:rsid w:val="00B73973"/>
    <w:rsid w:val="00B779F9"/>
    <w:rsid w:val="00B77EDD"/>
    <w:rsid w:val="00B84C96"/>
    <w:rsid w:val="00B851AF"/>
    <w:rsid w:val="00B86CCF"/>
    <w:rsid w:val="00B91584"/>
    <w:rsid w:val="00B9618E"/>
    <w:rsid w:val="00BB7BE0"/>
    <w:rsid w:val="00BC12EE"/>
    <w:rsid w:val="00BC1F51"/>
    <w:rsid w:val="00BC456E"/>
    <w:rsid w:val="00BD2796"/>
    <w:rsid w:val="00BD2A20"/>
    <w:rsid w:val="00BE04E0"/>
    <w:rsid w:val="00BE373F"/>
    <w:rsid w:val="00BE6270"/>
    <w:rsid w:val="00BF072A"/>
    <w:rsid w:val="00C02FBB"/>
    <w:rsid w:val="00C03AB1"/>
    <w:rsid w:val="00C0547B"/>
    <w:rsid w:val="00C1128D"/>
    <w:rsid w:val="00C164E8"/>
    <w:rsid w:val="00C21932"/>
    <w:rsid w:val="00C23C74"/>
    <w:rsid w:val="00C25317"/>
    <w:rsid w:val="00C300AE"/>
    <w:rsid w:val="00C304FE"/>
    <w:rsid w:val="00C3715F"/>
    <w:rsid w:val="00C41DAB"/>
    <w:rsid w:val="00C42195"/>
    <w:rsid w:val="00C43E87"/>
    <w:rsid w:val="00C46334"/>
    <w:rsid w:val="00C52366"/>
    <w:rsid w:val="00C52EFA"/>
    <w:rsid w:val="00C60A86"/>
    <w:rsid w:val="00C72DF7"/>
    <w:rsid w:val="00C74435"/>
    <w:rsid w:val="00C751E8"/>
    <w:rsid w:val="00C75EF1"/>
    <w:rsid w:val="00C77335"/>
    <w:rsid w:val="00C85544"/>
    <w:rsid w:val="00C85C05"/>
    <w:rsid w:val="00C94537"/>
    <w:rsid w:val="00CA1AFB"/>
    <w:rsid w:val="00CA3FF0"/>
    <w:rsid w:val="00CA5126"/>
    <w:rsid w:val="00CB48F3"/>
    <w:rsid w:val="00CB5B96"/>
    <w:rsid w:val="00CC0156"/>
    <w:rsid w:val="00CC56B5"/>
    <w:rsid w:val="00CD05F2"/>
    <w:rsid w:val="00CD0F06"/>
    <w:rsid w:val="00CD5333"/>
    <w:rsid w:val="00CE6A21"/>
    <w:rsid w:val="00CE7E75"/>
    <w:rsid w:val="00CF5483"/>
    <w:rsid w:val="00CF58DA"/>
    <w:rsid w:val="00D00B1F"/>
    <w:rsid w:val="00D03012"/>
    <w:rsid w:val="00D12645"/>
    <w:rsid w:val="00D13684"/>
    <w:rsid w:val="00D15097"/>
    <w:rsid w:val="00D2557C"/>
    <w:rsid w:val="00D26570"/>
    <w:rsid w:val="00D32225"/>
    <w:rsid w:val="00D335DE"/>
    <w:rsid w:val="00D41902"/>
    <w:rsid w:val="00D442FA"/>
    <w:rsid w:val="00D47443"/>
    <w:rsid w:val="00D47E74"/>
    <w:rsid w:val="00D53F94"/>
    <w:rsid w:val="00D55B21"/>
    <w:rsid w:val="00D661E9"/>
    <w:rsid w:val="00D81ADE"/>
    <w:rsid w:val="00D85312"/>
    <w:rsid w:val="00D85376"/>
    <w:rsid w:val="00D864F5"/>
    <w:rsid w:val="00D93E0E"/>
    <w:rsid w:val="00D9568C"/>
    <w:rsid w:val="00D97AE9"/>
    <w:rsid w:val="00DA1B8B"/>
    <w:rsid w:val="00DA6423"/>
    <w:rsid w:val="00DA7223"/>
    <w:rsid w:val="00DC1C6B"/>
    <w:rsid w:val="00DC1F17"/>
    <w:rsid w:val="00DC2898"/>
    <w:rsid w:val="00DC298B"/>
    <w:rsid w:val="00DC4FA0"/>
    <w:rsid w:val="00DC6F2F"/>
    <w:rsid w:val="00DD0688"/>
    <w:rsid w:val="00DD35F4"/>
    <w:rsid w:val="00DD57EC"/>
    <w:rsid w:val="00DE4180"/>
    <w:rsid w:val="00DE51B3"/>
    <w:rsid w:val="00DE6E9A"/>
    <w:rsid w:val="00DF48EC"/>
    <w:rsid w:val="00DF53E7"/>
    <w:rsid w:val="00E03DB1"/>
    <w:rsid w:val="00E2059F"/>
    <w:rsid w:val="00E37326"/>
    <w:rsid w:val="00E373CA"/>
    <w:rsid w:val="00E4111C"/>
    <w:rsid w:val="00E4161A"/>
    <w:rsid w:val="00E426FB"/>
    <w:rsid w:val="00E43A6F"/>
    <w:rsid w:val="00E4787C"/>
    <w:rsid w:val="00E47B01"/>
    <w:rsid w:val="00E51B3C"/>
    <w:rsid w:val="00E53770"/>
    <w:rsid w:val="00E5478D"/>
    <w:rsid w:val="00E55417"/>
    <w:rsid w:val="00E577F8"/>
    <w:rsid w:val="00E57C33"/>
    <w:rsid w:val="00E61291"/>
    <w:rsid w:val="00E630C9"/>
    <w:rsid w:val="00E64FCE"/>
    <w:rsid w:val="00E668E3"/>
    <w:rsid w:val="00E67A6E"/>
    <w:rsid w:val="00E72325"/>
    <w:rsid w:val="00E731A7"/>
    <w:rsid w:val="00E748EF"/>
    <w:rsid w:val="00E74A6D"/>
    <w:rsid w:val="00E74D3E"/>
    <w:rsid w:val="00E7718D"/>
    <w:rsid w:val="00E7763D"/>
    <w:rsid w:val="00E84A63"/>
    <w:rsid w:val="00E92D70"/>
    <w:rsid w:val="00E96082"/>
    <w:rsid w:val="00E974C8"/>
    <w:rsid w:val="00EA3AFC"/>
    <w:rsid w:val="00EB263D"/>
    <w:rsid w:val="00EB435B"/>
    <w:rsid w:val="00EB59FC"/>
    <w:rsid w:val="00EC4B45"/>
    <w:rsid w:val="00EC70F8"/>
    <w:rsid w:val="00EC73C6"/>
    <w:rsid w:val="00EC7A86"/>
    <w:rsid w:val="00ED1610"/>
    <w:rsid w:val="00ED3E9F"/>
    <w:rsid w:val="00ED487C"/>
    <w:rsid w:val="00EE6361"/>
    <w:rsid w:val="00EE636B"/>
    <w:rsid w:val="00EE6B2B"/>
    <w:rsid w:val="00EE728A"/>
    <w:rsid w:val="00EE7DEA"/>
    <w:rsid w:val="00EF060E"/>
    <w:rsid w:val="00EF11F1"/>
    <w:rsid w:val="00EF253C"/>
    <w:rsid w:val="00EF75CC"/>
    <w:rsid w:val="00F002B3"/>
    <w:rsid w:val="00F0290B"/>
    <w:rsid w:val="00F02CED"/>
    <w:rsid w:val="00F05736"/>
    <w:rsid w:val="00F07AAA"/>
    <w:rsid w:val="00F07F09"/>
    <w:rsid w:val="00F10DDE"/>
    <w:rsid w:val="00F1266F"/>
    <w:rsid w:val="00F14458"/>
    <w:rsid w:val="00F20C35"/>
    <w:rsid w:val="00F20F5D"/>
    <w:rsid w:val="00F21751"/>
    <w:rsid w:val="00F23261"/>
    <w:rsid w:val="00F23DFC"/>
    <w:rsid w:val="00F24A6B"/>
    <w:rsid w:val="00F313E6"/>
    <w:rsid w:val="00F3232C"/>
    <w:rsid w:val="00F33817"/>
    <w:rsid w:val="00F3586E"/>
    <w:rsid w:val="00F42A53"/>
    <w:rsid w:val="00F43316"/>
    <w:rsid w:val="00F43756"/>
    <w:rsid w:val="00F47965"/>
    <w:rsid w:val="00F53929"/>
    <w:rsid w:val="00F545C3"/>
    <w:rsid w:val="00F54B9A"/>
    <w:rsid w:val="00F562F6"/>
    <w:rsid w:val="00F56594"/>
    <w:rsid w:val="00F57266"/>
    <w:rsid w:val="00F62CDE"/>
    <w:rsid w:val="00F63E05"/>
    <w:rsid w:val="00F64317"/>
    <w:rsid w:val="00F6601C"/>
    <w:rsid w:val="00F672FC"/>
    <w:rsid w:val="00F6746E"/>
    <w:rsid w:val="00F7315C"/>
    <w:rsid w:val="00F74FD0"/>
    <w:rsid w:val="00F80AF1"/>
    <w:rsid w:val="00F829AF"/>
    <w:rsid w:val="00F84D95"/>
    <w:rsid w:val="00F855DA"/>
    <w:rsid w:val="00F86D9B"/>
    <w:rsid w:val="00F90DA3"/>
    <w:rsid w:val="00F9363E"/>
    <w:rsid w:val="00F954B8"/>
    <w:rsid w:val="00F966C9"/>
    <w:rsid w:val="00FA03D2"/>
    <w:rsid w:val="00FA1236"/>
    <w:rsid w:val="00FA1D40"/>
    <w:rsid w:val="00FB7589"/>
    <w:rsid w:val="00FB7964"/>
    <w:rsid w:val="00FD1489"/>
    <w:rsid w:val="00FD2066"/>
    <w:rsid w:val="00FD5E80"/>
    <w:rsid w:val="00FD78F8"/>
    <w:rsid w:val="00FF369D"/>
    <w:rsid w:val="00FF7B6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124026"/>
  <w15:docId w15:val="{C98AD881-96A1-41D5-91C8-E338E8E7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371"/>
    <w:pPr>
      <w:ind w:left="720"/>
      <w:contextualSpacing/>
    </w:pPr>
  </w:style>
  <w:style w:type="paragraph" w:customStyle="1" w:styleId="Default">
    <w:name w:val="Default"/>
    <w:rsid w:val="00EF75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A"/>
  </w:style>
  <w:style w:type="paragraph" w:styleId="Footer">
    <w:name w:val="footer"/>
    <w:basedOn w:val="Normal"/>
    <w:link w:val="FooterChar"/>
    <w:uiPriority w:val="99"/>
    <w:unhideWhenUsed/>
    <w:rsid w:val="00F85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A"/>
  </w:style>
  <w:style w:type="character" w:styleId="CommentReference">
    <w:name w:val="annotation reference"/>
    <w:basedOn w:val="DefaultParagraphFont"/>
    <w:uiPriority w:val="99"/>
    <w:semiHidden/>
    <w:unhideWhenUsed/>
    <w:rsid w:val="004C3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AC8"/>
    <w:rPr>
      <w:b/>
      <w:bCs/>
      <w:sz w:val="20"/>
      <w:szCs w:val="20"/>
    </w:rPr>
  </w:style>
  <w:style w:type="paragraph" w:styleId="NoSpacing">
    <w:name w:val="No Spacing"/>
    <w:uiPriority w:val="1"/>
    <w:qFormat/>
    <w:rsid w:val="00E72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80B2-355F-4F81-A4A9-CE403406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TOMAZEVIC Martin</dc:creator>
  <cp:keywords/>
  <dc:description/>
  <cp:lastModifiedBy>DOLDAN Francisco</cp:lastModifiedBy>
  <cp:revision>2</cp:revision>
  <cp:lastPrinted>2023-05-09T15:29:00Z</cp:lastPrinted>
  <dcterms:created xsi:type="dcterms:W3CDTF">2023-05-12T18:04:00Z</dcterms:created>
  <dcterms:modified xsi:type="dcterms:W3CDTF">2023-05-12T18:04:00Z</dcterms:modified>
</cp:coreProperties>
</file>